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65D3D63A" w:rsidR="00DB1AB3" w:rsidRDefault="008B26AA" w:rsidP="00DB1AB3">
      <w:pPr>
        <w:pStyle w:val="Infotext"/>
        <w:spacing w:after="480"/>
        <w:rPr>
          <w:rFonts w:ascii="Arial Black" w:hAnsi="Arial Black"/>
          <w:color w:val="999999"/>
          <w:sz w:val="36"/>
          <w:szCs w:val="36"/>
        </w:rPr>
      </w:pPr>
      <w:r>
        <w:rPr>
          <w:noProof/>
        </w:rPr>
        <w:drawing>
          <wp:inline distT="0" distB="0" distL="0" distR="0" wp14:anchorId="0ACE592C" wp14:editId="293FA841">
            <wp:extent cx="2443163" cy="705397"/>
            <wp:effectExtent l="0" t="0" r="0" b="0"/>
            <wp:docPr id="1" name="Picture 1" descr="London Borough of H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ndon Borough of Harrow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1194" cy="716378"/>
                    </a:xfrm>
                    <a:prstGeom prst="rect">
                      <a:avLst/>
                    </a:prstGeom>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408"/>
        <w:gridCol w:w="4901"/>
      </w:tblGrid>
      <w:tr w:rsidR="001B25FB" w:rsidRPr="001B25FB" w14:paraId="73A0496E" w14:textId="77777777" w:rsidTr="005337B2">
        <w:trPr>
          <w:tblHeader/>
        </w:trPr>
        <w:tc>
          <w:tcPr>
            <w:tcW w:w="3474" w:type="dxa"/>
            <w:tcBorders>
              <w:bottom w:val="single" w:sz="18" w:space="0" w:color="auto"/>
            </w:tcBorders>
          </w:tcPr>
          <w:p w14:paraId="747348DD" w14:textId="77777777" w:rsidR="005441BD" w:rsidRPr="001B25FB" w:rsidRDefault="00DB1AB3" w:rsidP="005337B2">
            <w:pPr>
              <w:pStyle w:val="Heading1"/>
            </w:pPr>
            <w:r w:rsidRPr="001B25FB">
              <w:t>Report for:</w:t>
            </w:r>
          </w:p>
          <w:p w14:paraId="05BF3901" w14:textId="77777777" w:rsidR="005441BD" w:rsidRPr="001B25FB" w:rsidRDefault="005441BD" w:rsidP="005337B2">
            <w:pPr>
              <w:pStyle w:val="Heading1"/>
            </w:pPr>
          </w:p>
        </w:tc>
        <w:tc>
          <w:tcPr>
            <w:tcW w:w="5051" w:type="dxa"/>
            <w:tcBorders>
              <w:bottom w:val="single" w:sz="18" w:space="0" w:color="auto"/>
            </w:tcBorders>
          </w:tcPr>
          <w:p w14:paraId="0ED09993" w14:textId="0BF7BEC9" w:rsidR="00B26D5D" w:rsidRPr="001B25FB" w:rsidRDefault="00817191" w:rsidP="005337B2">
            <w:pPr>
              <w:pStyle w:val="Heading1"/>
              <w:rPr>
                <w:szCs w:val="28"/>
              </w:rPr>
            </w:pPr>
            <w:r w:rsidRPr="001B25FB">
              <w:t>Planning Policy Advisory Panel</w:t>
            </w:r>
            <w:r w:rsidRPr="001B25FB">
              <w:rPr>
                <w:szCs w:val="28"/>
              </w:rPr>
              <w:t xml:space="preserve"> </w:t>
            </w:r>
          </w:p>
        </w:tc>
      </w:tr>
      <w:tr w:rsidR="005441BD" w:rsidRPr="007D7E0B" w14:paraId="1D86A18F" w14:textId="77777777">
        <w:tc>
          <w:tcPr>
            <w:tcW w:w="3474" w:type="dxa"/>
            <w:tcBorders>
              <w:top w:val="single" w:sz="18" w:space="0" w:color="auto"/>
            </w:tcBorders>
          </w:tcPr>
          <w:p w14:paraId="672E0788" w14:textId="77777777" w:rsidR="005441BD" w:rsidRPr="007D7E0B" w:rsidRDefault="005441BD" w:rsidP="005337B2">
            <w:pPr>
              <w:pStyle w:val="Infotext"/>
              <w:spacing w:after="240"/>
              <w:rPr>
                <w:rFonts w:ascii="Arial Black" w:hAnsi="Arial Black" w:cs="Arial"/>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tc>
        <w:tc>
          <w:tcPr>
            <w:tcW w:w="5051" w:type="dxa"/>
            <w:tcBorders>
              <w:top w:val="single" w:sz="18" w:space="0" w:color="auto"/>
            </w:tcBorders>
          </w:tcPr>
          <w:p w14:paraId="6BE3CEEF" w14:textId="69580DD6" w:rsidR="005441BD" w:rsidRPr="00026E61" w:rsidRDefault="00520281">
            <w:pPr>
              <w:pStyle w:val="Infotext"/>
              <w:rPr>
                <w:rFonts w:cs="Arial"/>
                <w:sz w:val="24"/>
                <w:szCs w:val="24"/>
              </w:rPr>
            </w:pPr>
            <w:r>
              <w:rPr>
                <w:rFonts w:cs="Arial"/>
                <w:sz w:val="24"/>
                <w:szCs w:val="24"/>
              </w:rPr>
              <w:t>18 September 2023</w:t>
            </w:r>
          </w:p>
        </w:tc>
      </w:tr>
      <w:tr w:rsidR="005441BD" w:rsidRPr="007D7E0B" w14:paraId="06DAEBB8" w14:textId="77777777">
        <w:tc>
          <w:tcPr>
            <w:tcW w:w="3474" w:type="dxa"/>
          </w:tcPr>
          <w:p w14:paraId="50F0B2CE" w14:textId="77777777" w:rsidR="005441BD" w:rsidRPr="007D7E0B" w:rsidRDefault="005441BD" w:rsidP="005337B2">
            <w:pPr>
              <w:pStyle w:val="Infotext"/>
              <w:spacing w:after="240"/>
              <w:rPr>
                <w:rFonts w:ascii="Arial Black" w:hAnsi="Arial Black"/>
              </w:rPr>
            </w:pPr>
            <w:r w:rsidRPr="007D7E0B">
              <w:rPr>
                <w:rFonts w:ascii="Arial Black" w:hAnsi="Arial Black" w:cs="Arial"/>
              </w:rPr>
              <w:t>Subject:</w:t>
            </w:r>
          </w:p>
        </w:tc>
        <w:tc>
          <w:tcPr>
            <w:tcW w:w="5051" w:type="dxa"/>
          </w:tcPr>
          <w:p w14:paraId="3D086A18" w14:textId="3DFA3F19" w:rsidR="005441BD" w:rsidRPr="00026E61" w:rsidRDefault="003D16F8">
            <w:pPr>
              <w:pStyle w:val="Infotext"/>
              <w:rPr>
                <w:rFonts w:cs="Arial"/>
                <w:sz w:val="24"/>
                <w:szCs w:val="24"/>
              </w:rPr>
            </w:pPr>
            <w:r>
              <w:rPr>
                <w:rFonts w:cs="Arial"/>
                <w:sz w:val="24"/>
                <w:szCs w:val="24"/>
              </w:rPr>
              <w:t xml:space="preserve">Draft Infrastructure Delivery Plan (IDP) </w:t>
            </w:r>
            <w:r w:rsidR="00AB6D45">
              <w:rPr>
                <w:rFonts w:cs="Arial"/>
                <w:sz w:val="24"/>
                <w:szCs w:val="24"/>
              </w:rPr>
              <w:t xml:space="preserve">context </w:t>
            </w:r>
            <w:r>
              <w:rPr>
                <w:rFonts w:cs="Arial"/>
                <w:sz w:val="24"/>
                <w:szCs w:val="24"/>
              </w:rPr>
              <w:t xml:space="preserve">report </w:t>
            </w:r>
          </w:p>
        </w:tc>
      </w:tr>
      <w:tr w:rsidR="005441BD" w:rsidRPr="007D7E0B" w14:paraId="10A4A937" w14:textId="77777777">
        <w:tc>
          <w:tcPr>
            <w:tcW w:w="3474" w:type="dxa"/>
          </w:tcPr>
          <w:p w14:paraId="1791B2E2" w14:textId="77777777" w:rsidR="005441BD" w:rsidRPr="0064262B" w:rsidRDefault="005441BD" w:rsidP="005337B2">
            <w:pPr>
              <w:pStyle w:val="Infotext"/>
              <w:spacing w:after="240"/>
            </w:pPr>
            <w:r w:rsidRPr="007D7E0B">
              <w:rPr>
                <w:rFonts w:ascii="Arial Black" w:hAnsi="Arial Black" w:cs="Arial"/>
              </w:rPr>
              <w:t>Key Decision:</w:t>
            </w:r>
          </w:p>
        </w:tc>
        <w:tc>
          <w:tcPr>
            <w:tcW w:w="5051" w:type="dxa"/>
          </w:tcPr>
          <w:p w14:paraId="4B88550D" w14:textId="202A818D" w:rsidR="005441BD" w:rsidRPr="00026E61" w:rsidRDefault="005441BD">
            <w:pPr>
              <w:pStyle w:val="Infotext"/>
              <w:rPr>
                <w:rFonts w:cs="Arial"/>
                <w:sz w:val="24"/>
                <w:szCs w:val="24"/>
              </w:rPr>
            </w:pPr>
            <w:r w:rsidRPr="00026E61">
              <w:rPr>
                <w:rFonts w:cs="Arial"/>
                <w:sz w:val="24"/>
                <w:szCs w:val="24"/>
              </w:rPr>
              <w:t>No</w:t>
            </w:r>
            <w:r w:rsidR="00817191">
              <w:rPr>
                <w:rFonts w:cs="Arial"/>
                <w:sz w:val="24"/>
                <w:szCs w:val="24"/>
              </w:rPr>
              <w:t xml:space="preserve"> – Advisory Panel</w:t>
            </w:r>
            <w:r w:rsidR="00520281">
              <w:rPr>
                <w:rFonts w:cs="Arial"/>
                <w:sz w:val="24"/>
                <w:szCs w:val="24"/>
              </w:rPr>
              <w:t xml:space="preserve"> / for information only</w:t>
            </w:r>
          </w:p>
          <w:p w14:paraId="04A387FD" w14:textId="77777777" w:rsidR="0099076B" w:rsidRPr="00026E61" w:rsidRDefault="0099076B" w:rsidP="00817191">
            <w:pPr>
              <w:pStyle w:val="Infotext"/>
              <w:rPr>
                <w:rFonts w:cs="Arial"/>
                <w:sz w:val="24"/>
                <w:szCs w:val="24"/>
              </w:rPr>
            </w:pPr>
          </w:p>
        </w:tc>
      </w:tr>
      <w:tr w:rsidR="005441BD" w:rsidRPr="007D7E0B" w14:paraId="454ADD95" w14:textId="77777777">
        <w:tc>
          <w:tcPr>
            <w:tcW w:w="3474" w:type="dxa"/>
          </w:tcPr>
          <w:p w14:paraId="17FC4E38"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Responsible Officer:</w:t>
            </w:r>
          </w:p>
        </w:tc>
        <w:tc>
          <w:tcPr>
            <w:tcW w:w="5051" w:type="dxa"/>
          </w:tcPr>
          <w:p w14:paraId="6D04A19E" w14:textId="77777777" w:rsidR="00036698" w:rsidRDefault="00314B40">
            <w:pPr>
              <w:pStyle w:val="Infotext"/>
              <w:rPr>
                <w:rFonts w:cs="Arial"/>
                <w:sz w:val="24"/>
                <w:szCs w:val="24"/>
              </w:rPr>
            </w:pPr>
            <w:r w:rsidRPr="00252A43">
              <w:rPr>
                <w:rFonts w:cs="Arial"/>
                <w:sz w:val="24"/>
                <w:szCs w:val="24"/>
              </w:rPr>
              <w:t>Viv Evans, Chief Planning Officer</w:t>
            </w:r>
            <w:r w:rsidRPr="00026E61">
              <w:rPr>
                <w:rFonts w:cs="Arial"/>
                <w:sz w:val="24"/>
                <w:szCs w:val="24"/>
              </w:rPr>
              <w:t xml:space="preserve"> </w:t>
            </w:r>
          </w:p>
          <w:p w14:paraId="4C9A184A" w14:textId="77777777" w:rsidR="00C527C2" w:rsidRDefault="00C527C2">
            <w:pPr>
              <w:pStyle w:val="Infotext"/>
              <w:rPr>
                <w:rFonts w:cs="Arial"/>
                <w:sz w:val="24"/>
                <w:szCs w:val="24"/>
              </w:rPr>
            </w:pPr>
            <w:r>
              <w:rPr>
                <w:rFonts w:cs="Arial"/>
                <w:sz w:val="24"/>
                <w:szCs w:val="24"/>
              </w:rPr>
              <w:t xml:space="preserve">Emma Talbot, </w:t>
            </w:r>
            <w:r w:rsidR="00A01A67">
              <w:rPr>
                <w:rFonts w:cs="Arial"/>
                <w:sz w:val="24"/>
                <w:szCs w:val="24"/>
              </w:rPr>
              <w:t>Director of Regeneration and Sustainable Development</w:t>
            </w:r>
          </w:p>
          <w:p w14:paraId="5ED24FC3" w14:textId="0130EA53" w:rsidR="00A01A67" w:rsidRPr="00026E61" w:rsidRDefault="00A01A67">
            <w:pPr>
              <w:pStyle w:val="Infotext"/>
              <w:rPr>
                <w:rFonts w:cs="Arial"/>
                <w:sz w:val="24"/>
                <w:szCs w:val="24"/>
              </w:rPr>
            </w:pPr>
          </w:p>
        </w:tc>
      </w:tr>
      <w:tr w:rsidR="005441BD" w:rsidRPr="007D7E0B" w14:paraId="67151276" w14:textId="77777777">
        <w:tc>
          <w:tcPr>
            <w:tcW w:w="3474" w:type="dxa"/>
          </w:tcPr>
          <w:p w14:paraId="64236CA0"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Portfolio Holder:</w:t>
            </w:r>
          </w:p>
        </w:tc>
        <w:tc>
          <w:tcPr>
            <w:tcW w:w="5051" w:type="dxa"/>
          </w:tcPr>
          <w:p w14:paraId="4D94F8AE" w14:textId="2378D804" w:rsidR="008D0B76" w:rsidRPr="00026E61" w:rsidRDefault="00961630">
            <w:pPr>
              <w:pStyle w:val="Infotext"/>
              <w:rPr>
                <w:rFonts w:cs="Arial"/>
                <w:sz w:val="24"/>
                <w:szCs w:val="24"/>
              </w:rPr>
            </w:pPr>
            <w:r w:rsidRPr="00252A43">
              <w:rPr>
                <w:rFonts w:cs="Arial"/>
                <w:sz w:val="24"/>
                <w:szCs w:val="24"/>
              </w:rPr>
              <w:t>Councillor Marilyn Ashton, Deputy Leader of the Council, Planning &amp; Regeneration Portfolio Holder</w:t>
            </w:r>
          </w:p>
        </w:tc>
      </w:tr>
      <w:tr w:rsidR="005441BD" w:rsidRPr="007D7E0B" w14:paraId="16E0D62B" w14:textId="77777777">
        <w:tc>
          <w:tcPr>
            <w:tcW w:w="3474" w:type="dxa"/>
          </w:tcPr>
          <w:p w14:paraId="2E721E3F"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Exempt:</w:t>
            </w:r>
          </w:p>
        </w:tc>
        <w:tc>
          <w:tcPr>
            <w:tcW w:w="5051" w:type="dxa"/>
          </w:tcPr>
          <w:p w14:paraId="6AFF2782" w14:textId="7DBC72C2" w:rsidR="005441BD" w:rsidRPr="00026E61" w:rsidRDefault="005441BD">
            <w:pPr>
              <w:pStyle w:val="Infotext"/>
              <w:rPr>
                <w:rFonts w:cs="Arial"/>
                <w:sz w:val="24"/>
                <w:szCs w:val="24"/>
              </w:rPr>
            </w:pPr>
            <w:r w:rsidRPr="00026E61">
              <w:rPr>
                <w:rFonts w:cs="Arial"/>
                <w:sz w:val="24"/>
                <w:szCs w:val="24"/>
              </w:rPr>
              <w:t>No</w:t>
            </w:r>
          </w:p>
          <w:p w14:paraId="401C4070" w14:textId="77777777" w:rsidR="0099076B" w:rsidRPr="00026E61" w:rsidRDefault="0099076B" w:rsidP="00961630">
            <w:pPr>
              <w:pStyle w:val="Infotext"/>
              <w:rPr>
                <w:rFonts w:cs="Arial"/>
                <w:sz w:val="24"/>
                <w:szCs w:val="24"/>
              </w:rPr>
            </w:pPr>
          </w:p>
        </w:tc>
      </w:tr>
      <w:tr w:rsidR="0099076B" w:rsidRPr="007D7E0B" w14:paraId="46C1B06C" w14:textId="77777777">
        <w:tc>
          <w:tcPr>
            <w:tcW w:w="3474" w:type="dxa"/>
          </w:tcPr>
          <w:p w14:paraId="4A84DC0E" w14:textId="77777777" w:rsidR="0099076B" w:rsidRPr="007D7E0B" w:rsidRDefault="0099076B" w:rsidP="005337B2">
            <w:pPr>
              <w:pStyle w:val="Infotext"/>
              <w:spacing w:after="240"/>
              <w:rPr>
                <w:rFonts w:ascii="Arial Black" w:hAnsi="Arial Black" w:cs="Arial"/>
              </w:rPr>
            </w:pPr>
            <w:r>
              <w:rPr>
                <w:rFonts w:ascii="Arial Black" w:hAnsi="Arial Black" w:cs="Arial"/>
              </w:rPr>
              <w:t>Decision subject to Call-in:</w:t>
            </w:r>
          </w:p>
        </w:tc>
        <w:tc>
          <w:tcPr>
            <w:tcW w:w="5051" w:type="dxa"/>
          </w:tcPr>
          <w:p w14:paraId="62A06EC7" w14:textId="50F0B698" w:rsidR="00C4117C" w:rsidRDefault="0099076B">
            <w:pPr>
              <w:pStyle w:val="Infotext"/>
              <w:rPr>
                <w:rFonts w:cs="Arial"/>
                <w:sz w:val="24"/>
                <w:szCs w:val="24"/>
              </w:rPr>
            </w:pPr>
            <w:r w:rsidRPr="00026E61">
              <w:rPr>
                <w:rFonts w:cs="Arial"/>
                <w:sz w:val="24"/>
                <w:szCs w:val="24"/>
              </w:rPr>
              <w:t>No</w:t>
            </w:r>
          </w:p>
          <w:p w14:paraId="3FC6C007" w14:textId="77777777" w:rsidR="000D5D8B" w:rsidRPr="00026E61" w:rsidRDefault="000D5D8B">
            <w:pPr>
              <w:pStyle w:val="Infotext"/>
              <w:rPr>
                <w:rFonts w:cs="Arial"/>
                <w:sz w:val="24"/>
                <w:szCs w:val="24"/>
              </w:rPr>
            </w:pPr>
          </w:p>
        </w:tc>
      </w:tr>
      <w:tr w:rsidR="0064262B" w:rsidRPr="007D7E0B" w14:paraId="73CF4E26" w14:textId="77777777">
        <w:tc>
          <w:tcPr>
            <w:tcW w:w="3474" w:type="dxa"/>
          </w:tcPr>
          <w:p w14:paraId="0F99FDF2" w14:textId="77777777" w:rsidR="00D54435" w:rsidRPr="007D7E0B" w:rsidRDefault="0064262B" w:rsidP="005337B2">
            <w:pPr>
              <w:pStyle w:val="Infotext"/>
              <w:spacing w:after="240"/>
              <w:rPr>
                <w:rFonts w:ascii="Arial Black" w:hAnsi="Arial Black" w:cs="Arial"/>
              </w:rPr>
            </w:pPr>
            <w:r>
              <w:rPr>
                <w:rFonts w:ascii="Arial Black" w:hAnsi="Arial Black" w:cs="Arial"/>
              </w:rPr>
              <w:t>Wards affected:</w:t>
            </w:r>
          </w:p>
        </w:tc>
        <w:tc>
          <w:tcPr>
            <w:tcW w:w="5051" w:type="dxa"/>
          </w:tcPr>
          <w:p w14:paraId="76AA06AF" w14:textId="20039EA3" w:rsidR="0064262B" w:rsidRPr="00026E61" w:rsidRDefault="00961630" w:rsidP="002D7BE3">
            <w:pPr>
              <w:pStyle w:val="Infotext"/>
              <w:rPr>
                <w:rFonts w:cs="Arial"/>
                <w:sz w:val="24"/>
                <w:szCs w:val="24"/>
              </w:rPr>
            </w:pPr>
            <w:r>
              <w:rPr>
                <w:rFonts w:cs="Arial"/>
                <w:sz w:val="24"/>
                <w:szCs w:val="24"/>
              </w:rPr>
              <w:t xml:space="preserve">All </w:t>
            </w:r>
            <w:r w:rsidR="002A0F12">
              <w:rPr>
                <w:rFonts w:cs="Arial"/>
                <w:sz w:val="24"/>
                <w:szCs w:val="24"/>
              </w:rPr>
              <w:t>Wards</w:t>
            </w:r>
          </w:p>
        </w:tc>
      </w:tr>
      <w:tr w:rsidR="005441BD" w:rsidRPr="007D7E0B" w14:paraId="3A7EFAEE" w14:textId="77777777">
        <w:tc>
          <w:tcPr>
            <w:tcW w:w="3474" w:type="dxa"/>
          </w:tcPr>
          <w:p w14:paraId="72F5FB44" w14:textId="77777777" w:rsidR="005441BD" w:rsidRPr="007D7E0B" w:rsidRDefault="005441BD" w:rsidP="005337B2">
            <w:pPr>
              <w:pStyle w:val="Infotext"/>
              <w:spacing w:after="240"/>
              <w:rPr>
                <w:rFonts w:ascii="Arial Black" w:hAnsi="Arial Black" w:cs="Arial"/>
              </w:rPr>
            </w:pPr>
            <w:r w:rsidRPr="007D7E0B">
              <w:rPr>
                <w:rFonts w:ascii="Arial Black" w:hAnsi="Arial Black" w:cs="Arial"/>
              </w:rPr>
              <w:t>Enclosures:</w:t>
            </w:r>
          </w:p>
        </w:tc>
        <w:tc>
          <w:tcPr>
            <w:tcW w:w="5051" w:type="dxa"/>
          </w:tcPr>
          <w:p w14:paraId="05A8DEFB" w14:textId="6B09461C" w:rsidR="008D0B76" w:rsidRPr="00026E61" w:rsidRDefault="002A0F12">
            <w:pPr>
              <w:pStyle w:val="Infotext"/>
              <w:rPr>
                <w:rFonts w:cs="Arial"/>
                <w:sz w:val="24"/>
                <w:szCs w:val="24"/>
              </w:rPr>
            </w:pPr>
            <w:r>
              <w:rPr>
                <w:rFonts w:cs="Arial"/>
                <w:sz w:val="24"/>
                <w:szCs w:val="24"/>
              </w:rPr>
              <w:t xml:space="preserve">Appendix </w:t>
            </w:r>
            <w:r w:rsidR="00BE4922">
              <w:rPr>
                <w:rFonts w:cs="Arial"/>
                <w:sz w:val="24"/>
                <w:szCs w:val="24"/>
              </w:rPr>
              <w:t xml:space="preserve">1 </w:t>
            </w:r>
            <w:r>
              <w:rPr>
                <w:rFonts w:cs="Arial"/>
                <w:sz w:val="24"/>
                <w:szCs w:val="24"/>
              </w:rPr>
              <w:t xml:space="preserve">– Infrastructure Delivery Plan </w:t>
            </w:r>
            <w:r w:rsidR="006C3831">
              <w:rPr>
                <w:rFonts w:cs="Arial"/>
                <w:sz w:val="24"/>
                <w:szCs w:val="24"/>
              </w:rPr>
              <w:t xml:space="preserve">Context </w:t>
            </w:r>
            <w:r>
              <w:rPr>
                <w:rFonts w:cs="Arial"/>
                <w:sz w:val="24"/>
                <w:szCs w:val="24"/>
              </w:rPr>
              <w:t>Report</w:t>
            </w:r>
            <w:r w:rsidR="0017388D">
              <w:rPr>
                <w:rFonts w:cs="Arial"/>
                <w:sz w:val="24"/>
                <w:szCs w:val="24"/>
              </w:rPr>
              <w:t xml:space="preserve"> (August 2023)</w:t>
            </w:r>
          </w:p>
        </w:tc>
      </w:tr>
    </w:tbl>
    <w:p w14:paraId="346D5BB2" w14:textId="77777777" w:rsidR="005441BD" w:rsidRDefault="005441BD" w:rsidP="005337B2">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14:paraId="20A4F076" w14:textId="77777777">
        <w:tc>
          <w:tcPr>
            <w:tcW w:w="8525" w:type="dxa"/>
            <w:tcBorders>
              <w:top w:val="nil"/>
              <w:left w:val="nil"/>
              <w:right w:val="nil"/>
            </w:tcBorders>
          </w:tcPr>
          <w:p w14:paraId="62639055" w14:textId="77777777" w:rsidR="005200DF" w:rsidRDefault="005200DF" w:rsidP="005337B2">
            <w:pPr>
              <w:pStyle w:val="Heading2"/>
              <w:spacing w:after="240"/>
            </w:pPr>
            <w:r>
              <w:t>Section 1 – Summary and Recommendations</w:t>
            </w:r>
          </w:p>
        </w:tc>
      </w:tr>
      <w:tr w:rsidR="005441BD" w14:paraId="07FFE2EC" w14:textId="77777777">
        <w:tc>
          <w:tcPr>
            <w:tcW w:w="8525" w:type="dxa"/>
          </w:tcPr>
          <w:p w14:paraId="72A9A1B3" w14:textId="77777777" w:rsidR="005441BD" w:rsidRDefault="005441BD"/>
          <w:p w14:paraId="440E37A1" w14:textId="6D2D6BC7" w:rsidR="005441BD" w:rsidRDefault="00BC1CC7" w:rsidP="00BC1CC7">
            <w:r w:rsidRPr="007E6D3A">
              <w:t xml:space="preserve">This report sets </w:t>
            </w:r>
            <w:r w:rsidR="006E24AF" w:rsidRPr="007E6D3A">
              <w:t xml:space="preserve">out the </w:t>
            </w:r>
            <w:r w:rsidR="002218EF" w:rsidRPr="007E6D3A">
              <w:t>context</w:t>
            </w:r>
            <w:r w:rsidR="00400283" w:rsidRPr="007E6D3A">
              <w:t xml:space="preserve"> and findings of the Infrastructure Delivery Plan (IDP) </w:t>
            </w:r>
            <w:r w:rsidR="00B16F89">
              <w:t>context</w:t>
            </w:r>
            <w:r w:rsidR="00B16F89" w:rsidRPr="007E6D3A">
              <w:t xml:space="preserve"> </w:t>
            </w:r>
            <w:r w:rsidR="00400283" w:rsidRPr="007E6D3A">
              <w:t>report</w:t>
            </w:r>
            <w:r w:rsidR="00F941C5" w:rsidRPr="007E6D3A">
              <w:t xml:space="preserve">. </w:t>
            </w:r>
            <w:r w:rsidR="00086480" w:rsidRPr="007E6D3A">
              <w:t xml:space="preserve">This </w:t>
            </w:r>
            <w:r w:rsidR="00232566">
              <w:t>IDP</w:t>
            </w:r>
            <w:r w:rsidR="00232566" w:rsidRPr="007E6D3A">
              <w:t xml:space="preserve"> </w:t>
            </w:r>
            <w:r w:rsidR="00086480" w:rsidRPr="007E6D3A">
              <w:t>is an integral aspect of the new Local Plan evidence base</w:t>
            </w:r>
            <w:r w:rsidR="00E36CFF" w:rsidRPr="007E6D3A">
              <w:t xml:space="preserve">. </w:t>
            </w:r>
            <w:r w:rsidR="005D3E4C">
              <w:t xml:space="preserve">Once the full IDP is completed, it will </w:t>
            </w:r>
            <w:r w:rsidR="00B97B3B">
              <w:t xml:space="preserve">also </w:t>
            </w:r>
            <w:r w:rsidR="005D3E4C">
              <w:t xml:space="preserve">inform decisions on the allocation of </w:t>
            </w:r>
            <w:r w:rsidR="009231B6">
              <w:t>Harrow Community Infrastructure Levy (CIL) receipts.</w:t>
            </w:r>
          </w:p>
          <w:p w14:paraId="2BF89766" w14:textId="77777777" w:rsidR="00171CCC" w:rsidRDefault="00171CCC" w:rsidP="00BC1CC7"/>
          <w:p w14:paraId="7F72E2DD" w14:textId="67F5A42A" w:rsidR="00171CCC" w:rsidRDefault="00A70288" w:rsidP="00BC1CC7">
            <w:r>
              <w:t xml:space="preserve">The </w:t>
            </w:r>
            <w:r w:rsidR="00B16F89">
              <w:t xml:space="preserve">context </w:t>
            </w:r>
            <w:r>
              <w:t>report is attached at Appendix 1.</w:t>
            </w:r>
          </w:p>
          <w:p w14:paraId="7078F0D4" w14:textId="77777777" w:rsidR="00BC1CC7" w:rsidRPr="00BC1CC7" w:rsidRDefault="00BC1CC7" w:rsidP="00BC1CC7"/>
          <w:p w14:paraId="6ABBF0F2" w14:textId="77777777" w:rsidR="005441BD" w:rsidRPr="00B65EB5" w:rsidRDefault="005441BD" w:rsidP="00BC1CC7">
            <w:pPr>
              <w:pStyle w:val="Heading3"/>
              <w:rPr>
                <w:i/>
              </w:rPr>
            </w:pPr>
            <w:r w:rsidRPr="00BC1CC7">
              <w:t>Recommendations:</w:t>
            </w:r>
            <w:r w:rsidRPr="00B65EB5">
              <w:rPr>
                <w:i/>
              </w:rPr>
              <w:t xml:space="preserve"> </w:t>
            </w:r>
          </w:p>
          <w:p w14:paraId="47175E89" w14:textId="46E0EC92" w:rsidR="005441BD" w:rsidRDefault="001D71C9">
            <w:r>
              <w:t>The Panel</w:t>
            </w:r>
            <w:r w:rsidR="005441BD">
              <w:t xml:space="preserve"> is requested to:</w:t>
            </w:r>
          </w:p>
          <w:p w14:paraId="6A316565" w14:textId="77777777" w:rsidR="009C2190" w:rsidRDefault="009C2190"/>
          <w:p w14:paraId="60566A10" w14:textId="55A7C769" w:rsidR="001D71C9" w:rsidRPr="007E6D3A" w:rsidRDefault="001D71C9" w:rsidP="009C2190">
            <w:pPr>
              <w:pStyle w:val="ListParagraph"/>
              <w:numPr>
                <w:ilvl w:val="0"/>
                <w:numId w:val="41"/>
              </w:numPr>
              <w:rPr>
                <w:sz w:val="24"/>
                <w:szCs w:val="24"/>
              </w:rPr>
            </w:pPr>
            <w:r w:rsidRPr="007E6D3A">
              <w:rPr>
                <w:sz w:val="24"/>
                <w:szCs w:val="24"/>
              </w:rPr>
              <w:t xml:space="preserve">Note </w:t>
            </w:r>
            <w:r w:rsidR="009C2190" w:rsidRPr="007E6D3A">
              <w:rPr>
                <w:sz w:val="24"/>
                <w:szCs w:val="24"/>
              </w:rPr>
              <w:t xml:space="preserve">and comment on </w:t>
            </w:r>
            <w:r w:rsidRPr="007E6D3A">
              <w:rPr>
                <w:sz w:val="24"/>
                <w:szCs w:val="24"/>
              </w:rPr>
              <w:t xml:space="preserve">the findings of the IDP </w:t>
            </w:r>
            <w:r w:rsidR="00B16F89">
              <w:rPr>
                <w:sz w:val="24"/>
                <w:szCs w:val="24"/>
              </w:rPr>
              <w:t>context</w:t>
            </w:r>
            <w:r w:rsidR="00B16F89" w:rsidRPr="007E6D3A">
              <w:rPr>
                <w:sz w:val="24"/>
                <w:szCs w:val="24"/>
              </w:rPr>
              <w:t xml:space="preserve"> </w:t>
            </w:r>
            <w:r w:rsidRPr="007E6D3A">
              <w:rPr>
                <w:sz w:val="24"/>
                <w:szCs w:val="24"/>
              </w:rPr>
              <w:t>r</w:t>
            </w:r>
            <w:r w:rsidR="002C77A7" w:rsidRPr="007E6D3A">
              <w:rPr>
                <w:sz w:val="24"/>
                <w:szCs w:val="24"/>
              </w:rPr>
              <w:t xml:space="preserve">eport </w:t>
            </w:r>
            <w:r w:rsidR="00F30D77">
              <w:rPr>
                <w:sz w:val="24"/>
                <w:szCs w:val="24"/>
              </w:rPr>
              <w:t xml:space="preserve">as they relate to the </w:t>
            </w:r>
            <w:r w:rsidR="00B911FF">
              <w:rPr>
                <w:sz w:val="24"/>
                <w:szCs w:val="24"/>
              </w:rPr>
              <w:t>new Harrow Local Plan</w:t>
            </w:r>
            <w:r w:rsidR="00CD009C">
              <w:rPr>
                <w:sz w:val="24"/>
                <w:szCs w:val="24"/>
              </w:rPr>
              <w:t xml:space="preserve"> and potential future CIL receipts</w:t>
            </w:r>
            <w:r w:rsidR="00B911FF">
              <w:rPr>
                <w:sz w:val="24"/>
                <w:szCs w:val="24"/>
              </w:rPr>
              <w:t>.</w:t>
            </w:r>
          </w:p>
          <w:p w14:paraId="5348BB52" w14:textId="77777777" w:rsidR="009C2190" w:rsidRDefault="009C2190" w:rsidP="009C2190">
            <w:pPr>
              <w:pStyle w:val="ListParagraph"/>
            </w:pPr>
          </w:p>
          <w:p w14:paraId="7E94DB8B" w14:textId="392ED106" w:rsidR="005441BD" w:rsidRDefault="001F31D6" w:rsidP="001D71C9">
            <w:r w:rsidRPr="00525440">
              <w:rPr>
                <w:b/>
              </w:rPr>
              <w:lastRenderedPageBreak/>
              <w:t xml:space="preserve">Reason:  </w:t>
            </w:r>
            <w:r w:rsidR="007E6D3A" w:rsidRPr="00525440">
              <w:rPr>
                <w:b/>
              </w:rPr>
              <w:br/>
            </w:r>
            <w:r w:rsidR="00D87C9E">
              <w:t>The I</w:t>
            </w:r>
            <w:r w:rsidR="007E6D3A">
              <w:t xml:space="preserve">nfrastructure </w:t>
            </w:r>
            <w:r w:rsidR="00D87C9E">
              <w:t>D</w:t>
            </w:r>
            <w:r w:rsidR="007E6D3A">
              <w:t xml:space="preserve">elivery </w:t>
            </w:r>
            <w:r w:rsidR="00D87C9E">
              <w:t>P</w:t>
            </w:r>
            <w:r w:rsidR="007E6D3A">
              <w:t>lan (IDP)</w:t>
            </w:r>
            <w:r w:rsidR="00D87C9E">
              <w:t xml:space="preserve"> </w:t>
            </w:r>
            <w:r w:rsidR="00B16F89">
              <w:t xml:space="preserve">context </w:t>
            </w:r>
            <w:r w:rsidR="00D87C9E">
              <w:t xml:space="preserve">report sets the context for the </w:t>
            </w:r>
            <w:r w:rsidR="0089667A">
              <w:t>full IDP</w:t>
            </w:r>
            <w:r w:rsidR="007E6D3A">
              <w:t>,</w:t>
            </w:r>
            <w:r w:rsidR="0089667A">
              <w:t xml:space="preserve"> which is expected to be completed in the middle of next year</w:t>
            </w:r>
            <w:r w:rsidR="00CD009C">
              <w:t xml:space="preserve"> </w:t>
            </w:r>
            <w:r w:rsidR="00504E2C">
              <w:t>(in time for the second round of consultation on the draft Harrow Local Plan)</w:t>
            </w:r>
            <w:r w:rsidR="0089667A">
              <w:t>. The</w:t>
            </w:r>
            <w:r w:rsidR="00D91648">
              <w:t xml:space="preserve"> </w:t>
            </w:r>
            <w:r w:rsidR="0089667A">
              <w:t>full I</w:t>
            </w:r>
            <w:r w:rsidR="00D91648">
              <w:t xml:space="preserve">nfrastructure </w:t>
            </w:r>
            <w:r w:rsidR="0089667A">
              <w:t>D</w:t>
            </w:r>
            <w:r w:rsidR="00D91648">
              <w:t xml:space="preserve">elivery </w:t>
            </w:r>
            <w:r w:rsidR="0089667A">
              <w:t>P</w:t>
            </w:r>
            <w:r w:rsidR="00D91648">
              <w:t>lan</w:t>
            </w:r>
            <w:r w:rsidR="0089667A">
              <w:t xml:space="preserve"> is </w:t>
            </w:r>
            <w:r w:rsidR="0038399A">
              <w:t>required as part of the Evidence Base for Local Plans</w:t>
            </w:r>
            <w:r w:rsidR="0097620D">
              <w:t xml:space="preserve">. Ensuring that the </w:t>
            </w:r>
            <w:r w:rsidR="006C3831">
              <w:t>context</w:t>
            </w:r>
            <w:r w:rsidR="0097620D">
              <w:t xml:space="preserve"> report is comprehensive </w:t>
            </w:r>
            <w:r w:rsidR="00C424CA">
              <w:t xml:space="preserve">and sensical will ensure the success of the full report, and </w:t>
            </w:r>
            <w:r w:rsidR="0038399A">
              <w:t xml:space="preserve">subsequently </w:t>
            </w:r>
            <w:r w:rsidR="00C424CA">
              <w:t xml:space="preserve">the plan for </w:t>
            </w:r>
            <w:r w:rsidR="002A21BB">
              <w:t xml:space="preserve">Infrastructure provision in the borough over the lifespan of the new Local Plan. </w:t>
            </w:r>
          </w:p>
          <w:p w14:paraId="7339B5C9" w14:textId="0DE0A7DF" w:rsidR="007E6D3A" w:rsidRDefault="007E6D3A" w:rsidP="001D71C9"/>
        </w:tc>
      </w:tr>
    </w:tbl>
    <w:p w14:paraId="7EB137CB" w14:textId="77777777" w:rsidR="005C1159" w:rsidRDefault="005C1159">
      <w:pPr>
        <w:pStyle w:val="Heading1"/>
        <w:jc w:val="center"/>
        <w:rPr>
          <w:color w:val="0000FF"/>
          <w:sz w:val="28"/>
        </w:rPr>
        <w:sectPr w:rsidR="005C1159" w:rsidSect="002D7BE3">
          <w:footerReference w:type="default" r:id="rId11"/>
          <w:footerReference w:type="first" r:id="rId12"/>
          <w:pgSz w:w="11909" w:h="16834" w:code="9"/>
          <w:pgMar w:top="864" w:right="1800" w:bottom="0" w:left="1800" w:header="1008" w:footer="432" w:gutter="0"/>
          <w:cols w:space="720"/>
          <w:docGrid w:linePitch="360"/>
        </w:sectPr>
      </w:pPr>
    </w:p>
    <w:p w14:paraId="6FB6728F" w14:textId="77777777" w:rsidR="005441BD" w:rsidRDefault="005441BD" w:rsidP="0028117A">
      <w:pPr>
        <w:pStyle w:val="Heading2"/>
        <w:keepNext/>
        <w:spacing w:before="480"/>
      </w:pPr>
      <w:r>
        <w:t>Section 2 – Report</w:t>
      </w:r>
    </w:p>
    <w:p w14:paraId="0901A58A" w14:textId="77777777" w:rsidR="005441BD" w:rsidRDefault="005441BD" w:rsidP="0028117A">
      <w:pPr>
        <w:keepNext/>
        <w:ind w:left="851" w:hanging="851"/>
      </w:pPr>
    </w:p>
    <w:p w14:paraId="1F38596E" w14:textId="5F564215" w:rsidR="005441BD" w:rsidRDefault="00FD66AE" w:rsidP="0028117A">
      <w:pPr>
        <w:pStyle w:val="Heading3"/>
        <w:keepNext/>
        <w:numPr>
          <w:ilvl w:val="0"/>
          <w:numId w:val="47"/>
        </w:numPr>
        <w:ind w:left="851" w:hanging="851"/>
      </w:pPr>
      <w:r>
        <w:t xml:space="preserve">Introduction </w:t>
      </w:r>
    </w:p>
    <w:p w14:paraId="027C6B65" w14:textId="77777777" w:rsidR="00F24ABA" w:rsidRDefault="00F24ABA" w:rsidP="0028117A">
      <w:pPr>
        <w:keepNext/>
        <w:ind w:left="851" w:hanging="851"/>
      </w:pPr>
    </w:p>
    <w:p w14:paraId="4FCB9093" w14:textId="0B31F9B2" w:rsidR="005441BD" w:rsidRDefault="00254F5D" w:rsidP="00F24ABA">
      <w:pPr>
        <w:ind w:left="851" w:hanging="851"/>
      </w:pPr>
      <w:r>
        <w:t>1.1</w:t>
      </w:r>
      <w:r w:rsidR="005E76B5">
        <w:tab/>
      </w:r>
      <w:r w:rsidR="0037084A">
        <w:t xml:space="preserve">The Harrow Infrastructure Delivery Plan </w:t>
      </w:r>
      <w:r w:rsidR="00662897">
        <w:t xml:space="preserve">(IDP) </w:t>
      </w:r>
      <w:r w:rsidR="009A396B">
        <w:t>will</w:t>
      </w:r>
      <w:r w:rsidR="009A396B" w:rsidRPr="009A396B">
        <w:t xml:space="preserve"> identify what infrastructure is </w:t>
      </w:r>
      <w:r w:rsidR="009A396B">
        <w:t>required</w:t>
      </w:r>
      <w:r w:rsidR="009A396B" w:rsidRPr="009A396B">
        <w:t xml:space="preserve"> to sustainably support future population growth and </w:t>
      </w:r>
      <w:r w:rsidR="001B051B">
        <w:t xml:space="preserve">development </w:t>
      </w:r>
      <w:r w:rsidR="009A396B" w:rsidRPr="009A396B">
        <w:t xml:space="preserve">in </w:t>
      </w:r>
      <w:r w:rsidR="009A396B">
        <w:t>the borough</w:t>
      </w:r>
      <w:r w:rsidR="001B051B">
        <w:t xml:space="preserve"> (including housing delivery)</w:t>
      </w:r>
      <w:r w:rsidR="00E71D56">
        <w:t xml:space="preserve">. The </w:t>
      </w:r>
      <w:r w:rsidR="00662897">
        <w:t>IDP</w:t>
      </w:r>
      <w:r w:rsidR="00E71D56">
        <w:t xml:space="preserve"> will also</w:t>
      </w:r>
      <w:r w:rsidR="009A396B" w:rsidRPr="009A396B">
        <w:t xml:space="preserve"> support and inform the policies </w:t>
      </w:r>
      <w:r w:rsidR="00E71D56">
        <w:t>contained</w:t>
      </w:r>
      <w:r w:rsidR="009A396B" w:rsidRPr="009A396B">
        <w:t xml:space="preserve"> in the new Local Plan</w:t>
      </w:r>
      <w:r w:rsidR="005F1560">
        <w:t>, as well as potential site allocations</w:t>
      </w:r>
      <w:r w:rsidR="009A396B" w:rsidRPr="009A396B">
        <w:t>.</w:t>
      </w:r>
    </w:p>
    <w:p w14:paraId="5A90A9E6" w14:textId="77777777" w:rsidR="00A96AD9" w:rsidRDefault="00A96AD9" w:rsidP="00F24ABA">
      <w:pPr>
        <w:ind w:left="851" w:hanging="851"/>
      </w:pPr>
    </w:p>
    <w:p w14:paraId="13ECBFCA" w14:textId="1D76BE98" w:rsidR="00A96AD9" w:rsidRPr="00C51736" w:rsidRDefault="00254F5D" w:rsidP="00F24ABA">
      <w:pPr>
        <w:ind w:left="851" w:hanging="851"/>
      </w:pPr>
      <w:r>
        <w:t>1.2</w:t>
      </w:r>
      <w:r w:rsidR="003C664F">
        <w:t xml:space="preserve"> </w:t>
      </w:r>
      <w:r w:rsidR="005E76B5">
        <w:tab/>
      </w:r>
      <w:r w:rsidR="00003DC9">
        <w:t xml:space="preserve">Infrastructure </w:t>
      </w:r>
      <w:r w:rsidR="00372B64">
        <w:t xml:space="preserve">is an umbrella term </w:t>
      </w:r>
      <w:r w:rsidR="002363BB">
        <w:t xml:space="preserve">encompassing ‘strategic infrastructure’ </w:t>
      </w:r>
      <w:r w:rsidR="0092672C">
        <w:t>(</w:t>
      </w:r>
      <w:r w:rsidR="00E03E43" w:rsidRPr="00E03E43">
        <w:t>rail, road, electricity and heat, waste, water supply, water management and flood risk, digital connectivity, and green infrastructure</w:t>
      </w:r>
      <w:r w:rsidR="00E03E43">
        <w:t>)</w:t>
      </w:r>
      <w:r w:rsidR="00E03E43" w:rsidRPr="00E03E43">
        <w:t xml:space="preserve"> </w:t>
      </w:r>
      <w:r w:rsidR="002363BB">
        <w:t>and ‘social infrastructure’</w:t>
      </w:r>
      <w:r w:rsidR="00E03E43">
        <w:t xml:space="preserve"> (</w:t>
      </w:r>
      <w:r w:rsidR="00A96AD9" w:rsidRPr="00A96AD9">
        <w:t>health</w:t>
      </w:r>
      <w:r w:rsidR="00A96AD9">
        <w:t xml:space="preserve">, </w:t>
      </w:r>
      <w:r w:rsidR="00A96AD9" w:rsidRPr="00A96AD9">
        <w:t>education</w:t>
      </w:r>
      <w:r w:rsidR="00A96AD9">
        <w:t xml:space="preserve">, </w:t>
      </w:r>
      <w:r w:rsidR="00A96AD9" w:rsidRPr="00A96AD9">
        <w:t>community</w:t>
      </w:r>
      <w:r w:rsidR="00F10A52">
        <w:t xml:space="preserve"> facilities</w:t>
      </w:r>
      <w:r w:rsidR="00A96AD9">
        <w:t xml:space="preserve">, </w:t>
      </w:r>
      <w:r w:rsidR="00A96AD9" w:rsidRPr="00A96AD9">
        <w:t>cultural</w:t>
      </w:r>
      <w:r w:rsidR="00A96AD9">
        <w:t xml:space="preserve">, </w:t>
      </w:r>
      <w:r w:rsidR="00A96AD9" w:rsidRPr="00A96AD9">
        <w:t>play</w:t>
      </w:r>
      <w:r w:rsidR="00A96AD9">
        <w:t xml:space="preserve">, </w:t>
      </w:r>
      <w:r w:rsidR="00A96AD9" w:rsidRPr="00A96AD9">
        <w:t>recreation and sports facilities</w:t>
      </w:r>
      <w:r w:rsidR="00A96AD9" w:rsidRPr="00C51736">
        <w:t xml:space="preserve">, </w:t>
      </w:r>
      <w:r w:rsidR="00A96AD9" w:rsidRPr="00A96AD9">
        <w:t>faith</w:t>
      </w:r>
      <w:r w:rsidR="00F10A52" w:rsidRPr="00C51736">
        <w:t xml:space="preserve"> facilities, and </w:t>
      </w:r>
      <w:r w:rsidR="00A96AD9" w:rsidRPr="00A96AD9">
        <w:t>emergency facilities</w:t>
      </w:r>
      <w:r w:rsidR="00FD1111" w:rsidRPr="00C51736">
        <w:t>, etc.</w:t>
      </w:r>
      <w:r w:rsidR="00F10A52" w:rsidRPr="00C51736">
        <w:t>)</w:t>
      </w:r>
      <w:r w:rsidR="00A3704F">
        <w:t>.</w:t>
      </w:r>
    </w:p>
    <w:p w14:paraId="1184A451" w14:textId="79C78D76" w:rsidR="00003DC9" w:rsidRPr="00C51736" w:rsidRDefault="00003DC9" w:rsidP="00F24ABA">
      <w:pPr>
        <w:ind w:left="851" w:hanging="851"/>
      </w:pPr>
    </w:p>
    <w:p w14:paraId="4F763968" w14:textId="24F8CB0A" w:rsidR="005441BD" w:rsidRPr="00C51736" w:rsidRDefault="005441BD" w:rsidP="0028117A">
      <w:pPr>
        <w:pStyle w:val="Heading3"/>
        <w:keepNext/>
        <w:numPr>
          <w:ilvl w:val="0"/>
          <w:numId w:val="47"/>
        </w:numPr>
        <w:spacing w:before="240"/>
        <w:ind w:left="851" w:hanging="851"/>
      </w:pPr>
      <w:r w:rsidRPr="00C51736">
        <w:t xml:space="preserve">Options </w:t>
      </w:r>
      <w:r w:rsidR="00C51736">
        <w:t>C</w:t>
      </w:r>
      <w:r w:rsidRPr="00C51736">
        <w:t>onsidered</w:t>
      </w:r>
    </w:p>
    <w:p w14:paraId="39FF0028" w14:textId="77777777" w:rsidR="00F24ABA" w:rsidRDefault="00F24ABA" w:rsidP="0028117A">
      <w:pPr>
        <w:keepNext/>
        <w:ind w:left="851" w:hanging="851"/>
      </w:pPr>
    </w:p>
    <w:p w14:paraId="05853B1A" w14:textId="38D3C6A8" w:rsidR="00C4117C" w:rsidRPr="00C51736" w:rsidRDefault="0063573A" w:rsidP="00F24ABA">
      <w:pPr>
        <w:ind w:left="851" w:hanging="851"/>
        <w:rPr>
          <w:b/>
        </w:rPr>
      </w:pPr>
      <w:r>
        <w:t>2.1</w:t>
      </w:r>
      <w:r w:rsidR="005E76B5">
        <w:tab/>
      </w:r>
      <w:r w:rsidR="002E0AC8" w:rsidRPr="00C51736">
        <w:t>None</w:t>
      </w:r>
      <w:r w:rsidR="00365864">
        <w:t xml:space="preserve"> – </w:t>
      </w:r>
      <w:r w:rsidR="00094A24">
        <w:t>This report is for i</w:t>
      </w:r>
      <w:r w:rsidR="00365864">
        <w:t xml:space="preserve">nformation </w:t>
      </w:r>
      <w:r w:rsidR="00094A24">
        <w:t xml:space="preserve">purposes </w:t>
      </w:r>
      <w:r w:rsidR="00365864">
        <w:t xml:space="preserve">only. </w:t>
      </w:r>
    </w:p>
    <w:p w14:paraId="633912A2" w14:textId="77777777" w:rsidR="00C4117C" w:rsidRPr="00C51736" w:rsidRDefault="00C4117C" w:rsidP="00F24ABA">
      <w:pPr>
        <w:ind w:left="851" w:hanging="851"/>
      </w:pPr>
    </w:p>
    <w:p w14:paraId="1F8CC7EA" w14:textId="07A90CB6" w:rsidR="00410C2B" w:rsidRPr="00C51736" w:rsidRDefault="00410C2B" w:rsidP="0028117A">
      <w:pPr>
        <w:pStyle w:val="Heading2"/>
        <w:keepNext/>
        <w:numPr>
          <w:ilvl w:val="0"/>
          <w:numId w:val="47"/>
        </w:numPr>
        <w:spacing w:before="240"/>
        <w:ind w:left="851" w:hanging="851"/>
        <w:rPr>
          <w:rFonts w:ascii="Arial" w:hAnsi="Arial"/>
          <w:sz w:val="28"/>
          <w:szCs w:val="28"/>
        </w:rPr>
      </w:pPr>
      <w:r w:rsidRPr="00C51736">
        <w:rPr>
          <w:rFonts w:ascii="Arial" w:hAnsi="Arial"/>
          <w:sz w:val="28"/>
          <w:szCs w:val="28"/>
        </w:rPr>
        <w:t xml:space="preserve">Background </w:t>
      </w:r>
    </w:p>
    <w:p w14:paraId="3B4D0467" w14:textId="77777777" w:rsidR="00F24ABA" w:rsidRDefault="00F24ABA" w:rsidP="0028117A">
      <w:pPr>
        <w:keepNext/>
        <w:ind w:left="851" w:hanging="851"/>
      </w:pPr>
    </w:p>
    <w:p w14:paraId="165B7751" w14:textId="14AEB026" w:rsidR="00FC7F51" w:rsidRPr="00C51736" w:rsidRDefault="0063573A" w:rsidP="00F24ABA">
      <w:pPr>
        <w:ind w:left="851" w:hanging="851"/>
      </w:pPr>
      <w:r>
        <w:t>3.1</w:t>
      </w:r>
      <w:r w:rsidR="005E76B5">
        <w:tab/>
      </w:r>
      <w:r w:rsidR="00476013" w:rsidRPr="00476013">
        <w:t>The National Planning Policy Framework (NPPF) sets out the responsibility of local planning authorities to identify and proactively plan for the provision of infrastructure to support their projected growth</w:t>
      </w:r>
      <w:r w:rsidR="002D0291" w:rsidRPr="00C51736">
        <w:t>.</w:t>
      </w:r>
      <w:r w:rsidR="00476013" w:rsidRPr="00476013">
        <w:t xml:space="preserve"> </w:t>
      </w:r>
    </w:p>
    <w:p w14:paraId="2B75FC5C" w14:textId="77777777" w:rsidR="0042510F" w:rsidRPr="00C51736" w:rsidRDefault="0042510F" w:rsidP="00F24ABA">
      <w:pPr>
        <w:ind w:left="851" w:hanging="851"/>
      </w:pPr>
    </w:p>
    <w:p w14:paraId="7FE4AF66" w14:textId="242975B8" w:rsidR="00FC7F51" w:rsidRDefault="0063573A" w:rsidP="00F24ABA">
      <w:pPr>
        <w:ind w:left="851" w:hanging="851"/>
      </w:pPr>
      <w:r>
        <w:t xml:space="preserve">3.2 </w:t>
      </w:r>
      <w:r w:rsidR="005E76B5">
        <w:tab/>
      </w:r>
      <w:r w:rsidR="00FC7F51" w:rsidRPr="00FC7F51">
        <w:t xml:space="preserve">This context report sets out the understanding of infrastructure need and provision across several key areas in Harrow. This report is the first step in the Infrastructure Delivery Plan (IDP) process and will be followed by a programme of internal and external engagement to inform the </w:t>
      </w:r>
      <w:r w:rsidR="00E10E18">
        <w:t xml:space="preserve">full </w:t>
      </w:r>
      <w:r w:rsidR="00FC7F51" w:rsidRPr="00FC7F51">
        <w:t xml:space="preserve">IDP. </w:t>
      </w:r>
    </w:p>
    <w:p w14:paraId="4DA97031" w14:textId="77777777" w:rsidR="00050811" w:rsidRDefault="00050811" w:rsidP="00F24ABA">
      <w:pPr>
        <w:ind w:left="851" w:hanging="851"/>
      </w:pPr>
    </w:p>
    <w:p w14:paraId="15851F35" w14:textId="72683E43" w:rsidR="00050811" w:rsidRDefault="0063573A" w:rsidP="00F24ABA">
      <w:pPr>
        <w:ind w:left="851" w:hanging="851"/>
      </w:pPr>
      <w:r>
        <w:t xml:space="preserve">3.3 </w:t>
      </w:r>
      <w:r w:rsidR="005E76B5">
        <w:tab/>
      </w:r>
      <w:r w:rsidR="00C93711">
        <w:t xml:space="preserve">The current Local Plan </w:t>
      </w:r>
      <w:r w:rsidR="006E5BB2">
        <w:t xml:space="preserve">has </w:t>
      </w:r>
      <w:r w:rsidR="00620775">
        <w:t>an associated IDP which can be found here (</w:t>
      </w:r>
      <w:hyperlink r:id="rId13" w:history="1">
        <w:r w:rsidR="00620775" w:rsidRPr="00BB22A2">
          <w:rPr>
            <w:rStyle w:val="Hyperlink"/>
          </w:rPr>
          <w:t>https://www.harrow.gov.uk/downloads/file/23229/community-infrastructure-levy-revised-infrastructure-assessment-and-delivery-plan.pdf</w:t>
        </w:r>
      </w:hyperlink>
      <w:r w:rsidR="00620775">
        <w:t xml:space="preserve">). </w:t>
      </w:r>
      <w:r w:rsidR="00450F31">
        <w:t>The updated IDP</w:t>
      </w:r>
      <w:r w:rsidR="00FA3F0B">
        <w:t xml:space="preserve"> will </w:t>
      </w:r>
      <w:r w:rsidR="00012608">
        <w:t>use</w:t>
      </w:r>
      <w:r w:rsidR="00FA3F0B">
        <w:t xml:space="preserve"> up to date data </w:t>
      </w:r>
      <w:r w:rsidR="00761D7B">
        <w:t>and will follow a slightly different structure</w:t>
      </w:r>
      <w:r w:rsidR="00012608">
        <w:t xml:space="preserve">. Additionally, the new IDP will utilise GIS </w:t>
      </w:r>
      <w:r w:rsidR="00012608">
        <w:lastRenderedPageBreak/>
        <w:t xml:space="preserve">mapping and be presented in a more visual way </w:t>
      </w:r>
      <w:r w:rsidR="001328E3">
        <w:t xml:space="preserve">which will be easier to understand. </w:t>
      </w:r>
    </w:p>
    <w:p w14:paraId="550704D4" w14:textId="77777777" w:rsidR="00196AFC" w:rsidRDefault="00196AFC" w:rsidP="00F24ABA">
      <w:pPr>
        <w:ind w:left="851" w:hanging="851"/>
      </w:pPr>
    </w:p>
    <w:p w14:paraId="0907ADCF" w14:textId="672ADCDF" w:rsidR="00196AFC" w:rsidRDefault="0063573A" w:rsidP="00F24ABA">
      <w:pPr>
        <w:keepNext/>
        <w:ind w:left="851" w:hanging="851"/>
      </w:pPr>
      <w:r>
        <w:t xml:space="preserve">3.4 </w:t>
      </w:r>
      <w:r w:rsidR="005E76B5">
        <w:tab/>
      </w:r>
      <w:r w:rsidR="003A55AB">
        <w:t xml:space="preserve">The full IDP </w:t>
      </w:r>
      <w:r w:rsidR="00E5505B">
        <w:t xml:space="preserve">is intended to: </w:t>
      </w:r>
    </w:p>
    <w:p w14:paraId="2C4A4856" w14:textId="3BC72D68" w:rsidR="00E5505B" w:rsidRPr="0091585D" w:rsidRDefault="00E5505B" w:rsidP="00F24ABA">
      <w:pPr>
        <w:pStyle w:val="ListParagraph"/>
        <w:numPr>
          <w:ilvl w:val="0"/>
          <w:numId w:val="48"/>
        </w:numPr>
        <w:ind w:left="1418" w:hanging="567"/>
        <w:rPr>
          <w:sz w:val="24"/>
          <w:szCs w:val="24"/>
        </w:rPr>
      </w:pPr>
      <w:r w:rsidRPr="0091585D">
        <w:rPr>
          <w:sz w:val="24"/>
          <w:szCs w:val="24"/>
        </w:rPr>
        <w:t xml:space="preserve">Identify the infrastructure required </w:t>
      </w:r>
      <w:r w:rsidR="004C4419" w:rsidRPr="0091585D">
        <w:rPr>
          <w:sz w:val="24"/>
          <w:szCs w:val="24"/>
        </w:rPr>
        <w:t>to support anticipated housing</w:t>
      </w:r>
      <w:r w:rsidR="007A4008" w:rsidRPr="0091585D">
        <w:rPr>
          <w:sz w:val="24"/>
          <w:szCs w:val="24"/>
        </w:rPr>
        <w:t xml:space="preserve"> </w:t>
      </w:r>
      <w:r w:rsidR="00604505">
        <w:rPr>
          <w:sz w:val="24"/>
          <w:szCs w:val="24"/>
        </w:rPr>
        <w:t xml:space="preserve">and other </w:t>
      </w:r>
      <w:r w:rsidR="007A4008" w:rsidRPr="0091585D">
        <w:rPr>
          <w:sz w:val="24"/>
          <w:szCs w:val="24"/>
        </w:rPr>
        <w:t>growth.</w:t>
      </w:r>
    </w:p>
    <w:p w14:paraId="38C5E24F" w14:textId="3EAAA6C9" w:rsidR="00E5505B" w:rsidRPr="0091585D" w:rsidRDefault="00E5505B" w:rsidP="00F24ABA">
      <w:pPr>
        <w:pStyle w:val="ListParagraph"/>
        <w:numPr>
          <w:ilvl w:val="0"/>
          <w:numId w:val="48"/>
        </w:numPr>
        <w:ind w:left="1418" w:hanging="567"/>
        <w:rPr>
          <w:sz w:val="24"/>
          <w:szCs w:val="24"/>
        </w:rPr>
      </w:pPr>
      <w:r w:rsidRPr="0091585D">
        <w:rPr>
          <w:sz w:val="24"/>
          <w:szCs w:val="24"/>
        </w:rPr>
        <w:t xml:space="preserve">Identify </w:t>
      </w:r>
      <w:r w:rsidR="007A4008" w:rsidRPr="0091585D">
        <w:rPr>
          <w:sz w:val="24"/>
          <w:szCs w:val="24"/>
        </w:rPr>
        <w:t>potential</w:t>
      </w:r>
      <w:r w:rsidRPr="0091585D">
        <w:rPr>
          <w:sz w:val="24"/>
          <w:szCs w:val="24"/>
        </w:rPr>
        <w:t xml:space="preserve"> infrastructure </w:t>
      </w:r>
      <w:r w:rsidR="007A4008" w:rsidRPr="0091585D">
        <w:rPr>
          <w:sz w:val="24"/>
          <w:szCs w:val="24"/>
        </w:rPr>
        <w:t>funding mechanisms.</w:t>
      </w:r>
    </w:p>
    <w:p w14:paraId="66D39D68" w14:textId="42836DCC" w:rsidR="00E5505B" w:rsidRPr="0091585D" w:rsidRDefault="00E5505B" w:rsidP="00F24ABA">
      <w:pPr>
        <w:pStyle w:val="ListParagraph"/>
        <w:numPr>
          <w:ilvl w:val="0"/>
          <w:numId w:val="48"/>
        </w:numPr>
        <w:ind w:left="1418" w:hanging="567"/>
        <w:rPr>
          <w:sz w:val="24"/>
          <w:szCs w:val="24"/>
        </w:rPr>
      </w:pPr>
      <w:r w:rsidRPr="0091585D">
        <w:rPr>
          <w:sz w:val="24"/>
          <w:szCs w:val="24"/>
        </w:rPr>
        <w:t xml:space="preserve">Identify key responsibilities, </w:t>
      </w:r>
      <w:proofErr w:type="gramStart"/>
      <w:r w:rsidRPr="0091585D">
        <w:rPr>
          <w:sz w:val="24"/>
          <w:szCs w:val="24"/>
        </w:rPr>
        <w:t>timescales</w:t>
      </w:r>
      <w:proofErr w:type="gramEnd"/>
      <w:r w:rsidRPr="0091585D">
        <w:rPr>
          <w:sz w:val="24"/>
          <w:szCs w:val="24"/>
        </w:rPr>
        <w:t xml:space="preserve"> and phasing elements in </w:t>
      </w:r>
      <w:r w:rsidR="007A4008" w:rsidRPr="0091585D">
        <w:rPr>
          <w:sz w:val="24"/>
          <w:szCs w:val="24"/>
        </w:rPr>
        <w:t xml:space="preserve">the delivery of infrastructure. </w:t>
      </w:r>
    </w:p>
    <w:p w14:paraId="7E0BE1B4" w14:textId="77777777" w:rsidR="00616427" w:rsidRDefault="00E5505B" w:rsidP="00F24ABA">
      <w:pPr>
        <w:pStyle w:val="ListParagraph"/>
        <w:numPr>
          <w:ilvl w:val="0"/>
          <w:numId w:val="48"/>
        </w:numPr>
        <w:ind w:left="1418" w:hanging="567"/>
        <w:rPr>
          <w:sz w:val="24"/>
          <w:szCs w:val="24"/>
        </w:rPr>
      </w:pPr>
      <w:r w:rsidRPr="00616427">
        <w:rPr>
          <w:sz w:val="24"/>
          <w:szCs w:val="24"/>
        </w:rPr>
        <w:t>Provide advice on the range of delivery mechanisms available for delivering</w:t>
      </w:r>
      <w:r w:rsidR="005A267D" w:rsidRPr="00616427">
        <w:rPr>
          <w:sz w:val="24"/>
          <w:szCs w:val="24"/>
        </w:rPr>
        <w:t xml:space="preserve"> </w:t>
      </w:r>
      <w:r w:rsidRPr="00616427">
        <w:rPr>
          <w:sz w:val="24"/>
          <w:szCs w:val="24"/>
        </w:rPr>
        <w:t>strategic infrastructure.</w:t>
      </w:r>
    </w:p>
    <w:p w14:paraId="5E647812" w14:textId="555A566D" w:rsidR="00616427" w:rsidRPr="00616427" w:rsidRDefault="00616427" w:rsidP="00F24ABA">
      <w:pPr>
        <w:pStyle w:val="ListParagraph"/>
        <w:numPr>
          <w:ilvl w:val="0"/>
          <w:numId w:val="48"/>
        </w:numPr>
        <w:ind w:left="1418" w:hanging="567"/>
        <w:rPr>
          <w:sz w:val="24"/>
          <w:szCs w:val="24"/>
        </w:rPr>
      </w:pPr>
      <w:r>
        <w:rPr>
          <w:sz w:val="24"/>
          <w:szCs w:val="24"/>
        </w:rPr>
        <w:t>Provide evidence to support any review of the current Harrow Community Inf</w:t>
      </w:r>
      <w:r w:rsidR="007769EA">
        <w:rPr>
          <w:sz w:val="24"/>
          <w:szCs w:val="24"/>
        </w:rPr>
        <w:t xml:space="preserve">rastructure Levy Charging Schedule, </w:t>
      </w:r>
      <w:r w:rsidR="00C61714">
        <w:rPr>
          <w:sz w:val="24"/>
          <w:szCs w:val="24"/>
        </w:rPr>
        <w:t xml:space="preserve">as well as future </w:t>
      </w:r>
      <w:r w:rsidR="00135DA3">
        <w:rPr>
          <w:sz w:val="24"/>
          <w:szCs w:val="24"/>
        </w:rPr>
        <w:t>allocation of CIL funds.</w:t>
      </w:r>
      <w:r w:rsidR="00E5505B" w:rsidRPr="00616427">
        <w:rPr>
          <w:sz w:val="24"/>
          <w:szCs w:val="24"/>
        </w:rPr>
        <w:cr/>
      </w:r>
    </w:p>
    <w:p w14:paraId="76DE2788" w14:textId="77777777" w:rsidR="00410C2B" w:rsidRPr="00F06E4E" w:rsidRDefault="00410C2B" w:rsidP="00410C2B">
      <w:pPr>
        <w:rPr>
          <w:rFonts w:cs="Arial"/>
          <w:color w:val="0000FF"/>
          <w:sz w:val="28"/>
          <w:szCs w:val="28"/>
        </w:rPr>
      </w:pPr>
    </w:p>
    <w:p w14:paraId="439F9035" w14:textId="1744E1E1" w:rsidR="00410C2B" w:rsidRPr="00026C7A" w:rsidRDefault="009114B3" w:rsidP="0028117A">
      <w:pPr>
        <w:pStyle w:val="Heading2"/>
        <w:keepNext/>
        <w:numPr>
          <w:ilvl w:val="0"/>
          <w:numId w:val="47"/>
        </w:numPr>
        <w:ind w:left="851" w:hanging="851"/>
        <w:rPr>
          <w:rFonts w:ascii="Arial" w:hAnsi="Arial"/>
          <w:sz w:val="28"/>
          <w:szCs w:val="28"/>
        </w:rPr>
      </w:pPr>
      <w:r>
        <w:rPr>
          <w:rFonts w:ascii="Arial" w:hAnsi="Arial"/>
          <w:sz w:val="28"/>
          <w:szCs w:val="28"/>
        </w:rPr>
        <w:t>Context</w:t>
      </w:r>
      <w:r w:rsidRPr="00026C7A">
        <w:rPr>
          <w:rFonts w:ascii="Arial" w:hAnsi="Arial"/>
          <w:sz w:val="28"/>
          <w:szCs w:val="28"/>
        </w:rPr>
        <w:t xml:space="preserve"> </w:t>
      </w:r>
      <w:r w:rsidR="005A267D" w:rsidRPr="00026C7A">
        <w:rPr>
          <w:rFonts w:ascii="Arial" w:hAnsi="Arial"/>
          <w:sz w:val="28"/>
          <w:szCs w:val="28"/>
        </w:rPr>
        <w:t xml:space="preserve">Report </w:t>
      </w:r>
    </w:p>
    <w:p w14:paraId="2FA4A4A2" w14:textId="77777777" w:rsidR="00F24ABA" w:rsidRDefault="00F24ABA" w:rsidP="0028117A">
      <w:pPr>
        <w:keepNext/>
        <w:ind w:left="851" w:hanging="851"/>
      </w:pPr>
    </w:p>
    <w:p w14:paraId="5B6C0836" w14:textId="60D9CB8D" w:rsidR="00410C2B" w:rsidRPr="006633B8" w:rsidRDefault="00085962" w:rsidP="00F24ABA">
      <w:pPr>
        <w:ind w:left="851" w:hanging="851"/>
        <w:rPr>
          <w:szCs w:val="24"/>
        </w:rPr>
      </w:pPr>
      <w:r>
        <w:t>4.1</w:t>
      </w:r>
      <w:r w:rsidR="005E76B5">
        <w:tab/>
      </w:r>
      <w:r w:rsidR="0046660A" w:rsidRPr="0046660A">
        <w:t xml:space="preserve">The </w:t>
      </w:r>
      <w:r w:rsidR="009114B3">
        <w:t>context</w:t>
      </w:r>
      <w:r w:rsidR="005F20AC">
        <w:t xml:space="preserve"> report </w:t>
      </w:r>
      <w:r w:rsidR="002C6E5C">
        <w:t xml:space="preserve">provides a </w:t>
      </w:r>
      <w:r w:rsidR="002F322F">
        <w:t xml:space="preserve">policy review </w:t>
      </w:r>
      <w:r w:rsidR="002F46FC">
        <w:t>and</w:t>
      </w:r>
      <w:r w:rsidR="002F322F">
        <w:t xml:space="preserve"> </w:t>
      </w:r>
      <w:r w:rsidR="00272338">
        <w:t>addresses physical and social infrastructure</w:t>
      </w:r>
      <w:r w:rsidR="008C015E">
        <w:t xml:space="preserve"> contexts</w:t>
      </w:r>
      <w:r w:rsidR="00272338">
        <w:t xml:space="preserve"> </w:t>
      </w:r>
      <w:r w:rsidR="004970CA">
        <w:t xml:space="preserve">through </w:t>
      </w:r>
      <w:r w:rsidR="00634885">
        <w:t xml:space="preserve">identification </w:t>
      </w:r>
      <w:r w:rsidR="00B67283">
        <w:t xml:space="preserve">of a lead contact, needs assessment, </w:t>
      </w:r>
      <w:r w:rsidR="00B4394D" w:rsidRPr="006633B8">
        <w:rPr>
          <w:szCs w:val="24"/>
        </w:rPr>
        <w:t>current provision</w:t>
      </w:r>
      <w:r w:rsidR="00B67283" w:rsidRPr="006633B8">
        <w:rPr>
          <w:szCs w:val="24"/>
        </w:rPr>
        <w:t xml:space="preserve">, </w:t>
      </w:r>
      <w:r w:rsidR="00B4394D" w:rsidRPr="006633B8">
        <w:rPr>
          <w:szCs w:val="24"/>
        </w:rPr>
        <w:t xml:space="preserve">known planned provision, </w:t>
      </w:r>
      <w:r w:rsidR="000C0202" w:rsidRPr="006633B8">
        <w:rPr>
          <w:szCs w:val="24"/>
        </w:rPr>
        <w:t xml:space="preserve">gap analysis, key evidence base, and next steps. </w:t>
      </w:r>
    </w:p>
    <w:p w14:paraId="1CABA165" w14:textId="77777777" w:rsidR="00245DBF" w:rsidRPr="006633B8" w:rsidRDefault="00245DBF" w:rsidP="00F24ABA">
      <w:pPr>
        <w:ind w:left="851" w:hanging="851"/>
        <w:rPr>
          <w:szCs w:val="24"/>
        </w:rPr>
      </w:pPr>
    </w:p>
    <w:p w14:paraId="6EE2BB29" w14:textId="0C680948" w:rsidR="00245DBF" w:rsidRPr="006633B8" w:rsidRDefault="00085962" w:rsidP="0028117A">
      <w:pPr>
        <w:keepNext/>
        <w:ind w:left="851" w:hanging="851"/>
        <w:rPr>
          <w:szCs w:val="24"/>
        </w:rPr>
      </w:pPr>
      <w:r>
        <w:rPr>
          <w:szCs w:val="24"/>
        </w:rPr>
        <w:t>4.2</w:t>
      </w:r>
      <w:r w:rsidR="005E76B5">
        <w:rPr>
          <w:szCs w:val="24"/>
        </w:rPr>
        <w:tab/>
      </w:r>
      <w:r w:rsidR="00D0696E" w:rsidRPr="006633B8">
        <w:rPr>
          <w:szCs w:val="24"/>
        </w:rPr>
        <w:t xml:space="preserve">The report covers </w:t>
      </w:r>
      <w:r w:rsidR="00BC1FFF" w:rsidRPr="006633B8">
        <w:rPr>
          <w:szCs w:val="24"/>
        </w:rPr>
        <w:t xml:space="preserve">the following infrastructure categories: </w:t>
      </w:r>
    </w:p>
    <w:p w14:paraId="0D233EBE" w14:textId="72E986A2" w:rsidR="00BC1FFF" w:rsidRPr="006633B8" w:rsidRDefault="00BC1FFF" w:rsidP="0028117A">
      <w:pPr>
        <w:pStyle w:val="ListParagraph"/>
        <w:keepNext/>
        <w:ind w:left="1418" w:hanging="567"/>
        <w:rPr>
          <w:i/>
          <w:iCs/>
          <w:sz w:val="24"/>
          <w:szCs w:val="24"/>
        </w:rPr>
      </w:pPr>
      <w:r w:rsidRPr="006633B8">
        <w:rPr>
          <w:i/>
          <w:iCs/>
          <w:sz w:val="24"/>
          <w:szCs w:val="24"/>
        </w:rPr>
        <w:t xml:space="preserve">Physical Infrastructure </w:t>
      </w:r>
    </w:p>
    <w:p w14:paraId="4AF0D6CC" w14:textId="3979B50B" w:rsidR="00BC1FFF" w:rsidRPr="006633B8" w:rsidRDefault="00BC1FFF" w:rsidP="00F24ABA">
      <w:pPr>
        <w:pStyle w:val="ListParagraph"/>
        <w:numPr>
          <w:ilvl w:val="0"/>
          <w:numId w:val="45"/>
        </w:numPr>
        <w:ind w:left="1418" w:hanging="567"/>
        <w:rPr>
          <w:sz w:val="24"/>
          <w:szCs w:val="24"/>
        </w:rPr>
      </w:pPr>
      <w:r w:rsidRPr="006633B8">
        <w:rPr>
          <w:sz w:val="24"/>
          <w:szCs w:val="24"/>
        </w:rPr>
        <w:t xml:space="preserve">Transport </w:t>
      </w:r>
    </w:p>
    <w:p w14:paraId="73E584EF" w14:textId="585CAD06" w:rsidR="00BC1FFF" w:rsidRPr="006633B8" w:rsidRDefault="00BC1FFF" w:rsidP="00F24ABA">
      <w:pPr>
        <w:pStyle w:val="ListParagraph"/>
        <w:numPr>
          <w:ilvl w:val="0"/>
          <w:numId w:val="45"/>
        </w:numPr>
        <w:ind w:left="1418" w:hanging="567"/>
        <w:rPr>
          <w:sz w:val="24"/>
          <w:szCs w:val="24"/>
        </w:rPr>
      </w:pPr>
      <w:r w:rsidRPr="006633B8">
        <w:rPr>
          <w:sz w:val="24"/>
          <w:szCs w:val="24"/>
        </w:rPr>
        <w:t>Energy &amp; Utilities</w:t>
      </w:r>
    </w:p>
    <w:p w14:paraId="5BE90561" w14:textId="65330FC4" w:rsidR="00BC1FFF" w:rsidRPr="006633B8" w:rsidRDefault="00BC1FFF" w:rsidP="00F24ABA">
      <w:pPr>
        <w:pStyle w:val="ListParagraph"/>
        <w:numPr>
          <w:ilvl w:val="0"/>
          <w:numId w:val="45"/>
        </w:numPr>
        <w:ind w:left="1418" w:hanging="567"/>
        <w:rPr>
          <w:sz w:val="24"/>
          <w:szCs w:val="24"/>
        </w:rPr>
      </w:pPr>
      <w:r w:rsidRPr="006633B8">
        <w:rPr>
          <w:sz w:val="24"/>
          <w:szCs w:val="24"/>
        </w:rPr>
        <w:t xml:space="preserve">Digital Connectivity </w:t>
      </w:r>
    </w:p>
    <w:p w14:paraId="19F30668" w14:textId="044E81CA" w:rsidR="00BC1FFF" w:rsidRPr="006633B8" w:rsidRDefault="00BC1FFF" w:rsidP="00F24ABA">
      <w:pPr>
        <w:pStyle w:val="ListParagraph"/>
        <w:numPr>
          <w:ilvl w:val="0"/>
          <w:numId w:val="45"/>
        </w:numPr>
        <w:ind w:left="1418" w:hanging="567"/>
        <w:rPr>
          <w:sz w:val="24"/>
          <w:szCs w:val="24"/>
        </w:rPr>
      </w:pPr>
      <w:r w:rsidRPr="006633B8">
        <w:rPr>
          <w:sz w:val="24"/>
          <w:szCs w:val="24"/>
        </w:rPr>
        <w:t>Flood Defence</w:t>
      </w:r>
    </w:p>
    <w:p w14:paraId="6F047B67" w14:textId="758D2D59" w:rsidR="00BC1FFF" w:rsidRPr="006633B8" w:rsidRDefault="00BC1FFF" w:rsidP="00F24ABA">
      <w:pPr>
        <w:pStyle w:val="ListParagraph"/>
        <w:numPr>
          <w:ilvl w:val="0"/>
          <w:numId w:val="45"/>
        </w:numPr>
        <w:ind w:left="1418" w:hanging="567"/>
        <w:rPr>
          <w:sz w:val="24"/>
          <w:szCs w:val="24"/>
        </w:rPr>
      </w:pPr>
      <w:r w:rsidRPr="006633B8">
        <w:rPr>
          <w:sz w:val="24"/>
          <w:szCs w:val="24"/>
        </w:rPr>
        <w:t xml:space="preserve">Waste &amp; Recycling </w:t>
      </w:r>
    </w:p>
    <w:p w14:paraId="6E8CA883" w14:textId="26B3FC28" w:rsidR="0056260B" w:rsidRPr="006633B8" w:rsidRDefault="0056260B" w:rsidP="00F24ABA">
      <w:pPr>
        <w:pStyle w:val="ListParagraph"/>
        <w:numPr>
          <w:ilvl w:val="0"/>
          <w:numId w:val="45"/>
        </w:numPr>
        <w:ind w:left="1418" w:hanging="567"/>
        <w:rPr>
          <w:sz w:val="24"/>
          <w:szCs w:val="24"/>
        </w:rPr>
      </w:pPr>
      <w:r w:rsidRPr="006633B8">
        <w:rPr>
          <w:sz w:val="24"/>
          <w:szCs w:val="24"/>
        </w:rPr>
        <w:t xml:space="preserve">Green Infrastructure </w:t>
      </w:r>
    </w:p>
    <w:p w14:paraId="01A32D41" w14:textId="60F8BD8D" w:rsidR="0056260B" w:rsidRPr="006633B8" w:rsidRDefault="0056260B" w:rsidP="00F24ABA">
      <w:pPr>
        <w:pStyle w:val="ListParagraph"/>
        <w:numPr>
          <w:ilvl w:val="0"/>
          <w:numId w:val="45"/>
        </w:numPr>
        <w:ind w:left="1418" w:hanging="567"/>
        <w:rPr>
          <w:sz w:val="24"/>
          <w:szCs w:val="24"/>
        </w:rPr>
      </w:pPr>
      <w:r w:rsidRPr="006633B8">
        <w:rPr>
          <w:sz w:val="24"/>
          <w:szCs w:val="24"/>
        </w:rPr>
        <w:t xml:space="preserve">Blue infrastructure </w:t>
      </w:r>
      <w:r w:rsidRPr="006633B8">
        <w:rPr>
          <w:sz w:val="24"/>
          <w:szCs w:val="24"/>
        </w:rPr>
        <w:br/>
      </w:r>
    </w:p>
    <w:p w14:paraId="760F0683" w14:textId="71F05240" w:rsidR="00BC1FFF" w:rsidRPr="006633B8" w:rsidRDefault="00BC1FFF" w:rsidP="0028117A">
      <w:pPr>
        <w:pStyle w:val="ListParagraph"/>
        <w:keepNext/>
        <w:ind w:left="1418" w:hanging="567"/>
        <w:rPr>
          <w:i/>
          <w:iCs/>
          <w:sz w:val="24"/>
          <w:szCs w:val="24"/>
        </w:rPr>
      </w:pPr>
      <w:r w:rsidRPr="006633B8">
        <w:rPr>
          <w:i/>
          <w:iCs/>
          <w:sz w:val="24"/>
          <w:szCs w:val="24"/>
        </w:rPr>
        <w:t xml:space="preserve">Social Infrastructure </w:t>
      </w:r>
    </w:p>
    <w:p w14:paraId="03DE9C0F" w14:textId="03FD549E" w:rsidR="00BC1FFF" w:rsidRPr="006633B8" w:rsidRDefault="00BC1FFF" w:rsidP="00F24ABA">
      <w:pPr>
        <w:pStyle w:val="ListParagraph"/>
        <w:numPr>
          <w:ilvl w:val="0"/>
          <w:numId w:val="45"/>
        </w:numPr>
        <w:ind w:left="1418" w:hanging="567"/>
        <w:rPr>
          <w:sz w:val="24"/>
          <w:szCs w:val="24"/>
        </w:rPr>
      </w:pPr>
      <w:r w:rsidRPr="006633B8">
        <w:rPr>
          <w:sz w:val="24"/>
          <w:szCs w:val="24"/>
        </w:rPr>
        <w:t>Education</w:t>
      </w:r>
    </w:p>
    <w:p w14:paraId="345C225B" w14:textId="701FDA90" w:rsidR="00BC1FFF" w:rsidRPr="006633B8" w:rsidRDefault="00BC1FFF" w:rsidP="00F24ABA">
      <w:pPr>
        <w:pStyle w:val="ListParagraph"/>
        <w:numPr>
          <w:ilvl w:val="0"/>
          <w:numId w:val="45"/>
        </w:numPr>
        <w:ind w:left="1418" w:hanging="567"/>
        <w:rPr>
          <w:sz w:val="24"/>
          <w:szCs w:val="24"/>
        </w:rPr>
      </w:pPr>
      <w:r w:rsidRPr="006633B8">
        <w:rPr>
          <w:sz w:val="24"/>
          <w:szCs w:val="24"/>
        </w:rPr>
        <w:t>Sport and Leisure</w:t>
      </w:r>
      <w:r w:rsidR="00DB7C2C" w:rsidRPr="006633B8">
        <w:rPr>
          <w:sz w:val="24"/>
          <w:szCs w:val="24"/>
        </w:rPr>
        <w:t xml:space="preserve"> Facilities </w:t>
      </w:r>
    </w:p>
    <w:p w14:paraId="4C182237" w14:textId="34D2ACD9" w:rsidR="00DB7C2C" w:rsidRPr="006633B8" w:rsidRDefault="0056260B" w:rsidP="00F24ABA">
      <w:pPr>
        <w:pStyle w:val="ListParagraph"/>
        <w:numPr>
          <w:ilvl w:val="0"/>
          <w:numId w:val="45"/>
        </w:numPr>
        <w:ind w:left="1418" w:hanging="567"/>
        <w:rPr>
          <w:sz w:val="24"/>
          <w:szCs w:val="24"/>
        </w:rPr>
      </w:pPr>
      <w:r w:rsidRPr="006633B8">
        <w:rPr>
          <w:sz w:val="24"/>
          <w:szCs w:val="24"/>
        </w:rPr>
        <w:t>Emergency Services</w:t>
      </w:r>
    </w:p>
    <w:p w14:paraId="08E7591B" w14:textId="741A0084" w:rsidR="0056260B" w:rsidRPr="006633B8" w:rsidRDefault="0056260B" w:rsidP="00F24ABA">
      <w:pPr>
        <w:pStyle w:val="ListParagraph"/>
        <w:numPr>
          <w:ilvl w:val="0"/>
          <w:numId w:val="45"/>
        </w:numPr>
        <w:ind w:left="1418" w:hanging="567"/>
        <w:rPr>
          <w:sz w:val="24"/>
          <w:szCs w:val="24"/>
        </w:rPr>
      </w:pPr>
      <w:r w:rsidRPr="006633B8">
        <w:rPr>
          <w:sz w:val="24"/>
          <w:szCs w:val="24"/>
        </w:rPr>
        <w:t>Health and Social Care</w:t>
      </w:r>
    </w:p>
    <w:p w14:paraId="2B3B5921" w14:textId="644490D6" w:rsidR="0056260B" w:rsidRPr="006633B8" w:rsidRDefault="0056260B" w:rsidP="00F24ABA">
      <w:pPr>
        <w:pStyle w:val="ListParagraph"/>
        <w:numPr>
          <w:ilvl w:val="0"/>
          <w:numId w:val="45"/>
        </w:numPr>
        <w:ind w:left="1418" w:hanging="567"/>
        <w:rPr>
          <w:sz w:val="24"/>
          <w:szCs w:val="24"/>
        </w:rPr>
      </w:pPr>
      <w:r w:rsidRPr="006633B8">
        <w:rPr>
          <w:sz w:val="24"/>
          <w:szCs w:val="24"/>
        </w:rPr>
        <w:t xml:space="preserve">Community and Cultural Facilities </w:t>
      </w:r>
    </w:p>
    <w:p w14:paraId="203C7B38" w14:textId="77777777" w:rsidR="0046660A" w:rsidRPr="006633B8" w:rsidRDefault="0046660A" w:rsidP="00085962">
      <w:pPr>
        <w:ind w:left="360"/>
        <w:rPr>
          <w:szCs w:val="24"/>
        </w:rPr>
      </w:pPr>
    </w:p>
    <w:p w14:paraId="50A4BFC7" w14:textId="4E96D1D1" w:rsidR="0046660A" w:rsidRPr="006633B8" w:rsidRDefault="00085962" w:rsidP="00F24ABA">
      <w:pPr>
        <w:ind w:left="851" w:hanging="851"/>
        <w:rPr>
          <w:szCs w:val="24"/>
        </w:rPr>
      </w:pPr>
      <w:r>
        <w:rPr>
          <w:szCs w:val="24"/>
        </w:rPr>
        <w:t>4.3</w:t>
      </w:r>
      <w:r w:rsidR="005E76B5">
        <w:rPr>
          <w:szCs w:val="24"/>
        </w:rPr>
        <w:tab/>
      </w:r>
      <w:r w:rsidR="00683AB8" w:rsidRPr="006633B8">
        <w:rPr>
          <w:szCs w:val="24"/>
        </w:rPr>
        <w:t xml:space="preserve">The </w:t>
      </w:r>
      <w:r w:rsidR="00A867E2">
        <w:rPr>
          <w:szCs w:val="24"/>
        </w:rPr>
        <w:t>context</w:t>
      </w:r>
      <w:r w:rsidR="00DE7FE5" w:rsidRPr="006633B8">
        <w:rPr>
          <w:szCs w:val="24"/>
        </w:rPr>
        <w:t xml:space="preserve"> report highlights gaps in </w:t>
      </w:r>
      <w:r w:rsidR="0066116B" w:rsidRPr="006633B8">
        <w:rPr>
          <w:szCs w:val="24"/>
        </w:rPr>
        <w:t xml:space="preserve">data availability, these will be filled by additional </w:t>
      </w:r>
      <w:r w:rsidR="006B7417" w:rsidRPr="006633B8">
        <w:rPr>
          <w:szCs w:val="24"/>
        </w:rPr>
        <w:t xml:space="preserve">consultation with service providers, and additional reports/strategies </w:t>
      </w:r>
      <w:r w:rsidR="00BD7D29" w:rsidRPr="006633B8">
        <w:rPr>
          <w:szCs w:val="24"/>
        </w:rPr>
        <w:t>that</w:t>
      </w:r>
      <w:r w:rsidR="006B7417" w:rsidRPr="006633B8">
        <w:rPr>
          <w:szCs w:val="24"/>
        </w:rPr>
        <w:t xml:space="preserve"> are being produced by the council at present. </w:t>
      </w:r>
      <w:r w:rsidR="00BD7D29" w:rsidRPr="006633B8">
        <w:rPr>
          <w:szCs w:val="24"/>
        </w:rPr>
        <w:t xml:space="preserve">This work will be undertaken in the </w:t>
      </w:r>
      <w:r w:rsidR="00F12B53" w:rsidRPr="006633B8">
        <w:rPr>
          <w:szCs w:val="24"/>
        </w:rPr>
        <w:t xml:space="preserve">full IDP </w:t>
      </w:r>
      <w:r w:rsidR="00A867E2">
        <w:rPr>
          <w:szCs w:val="24"/>
        </w:rPr>
        <w:t xml:space="preserve">later this year and early </w:t>
      </w:r>
      <w:r w:rsidR="00F12B53" w:rsidRPr="006633B8">
        <w:rPr>
          <w:szCs w:val="24"/>
        </w:rPr>
        <w:t xml:space="preserve">next year. </w:t>
      </w:r>
    </w:p>
    <w:p w14:paraId="4A320184" w14:textId="77777777" w:rsidR="00F12B53" w:rsidRPr="006633B8" w:rsidRDefault="00F12B53" w:rsidP="00F24ABA">
      <w:pPr>
        <w:ind w:left="851" w:hanging="851"/>
        <w:rPr>
          <w:szCs w:val="24"/>
        </w:rPr>
      </w:pPr>
    </w:p>
    <w:p w14:paraId="7DD059AD" w14:textId="0634B306" w:rsidR="004E2E79" w:rsidRPr="006633B8" w:rsidRDefault="00085962" w:rsidP="003F55C8">
      <w:pPr>
        <w:keepNext/>
        <w:ind w:left="851" w:hanging="851"/>
        <w:rPr>
          <w:szCs w:val="24"/>
        </w:rPr>
      </w:pPr>
      <w:r>
        <w:rPr>
          <w:szCs w:val="24"/>
        </w:rPr>
        <w:t xml:space="preserve">4.4 </w:t>
      </w:r>
      <w:r w:rsidR="005E76B5">
        <w:rPr>
          <w:szCs w:val="24"/>
        </w:rPr>
        <w:tab/>
      </w:r>
      <w:r w:rsidR="005E78C4" w:rsidRPr="006633B8">
        <w:rPr>
          <w:szCs w:val="24"/>
        </w:rPr>
        <w:t xml:space="preserve">The findings of the </w:t>
      </w:r>
      <w:r w:rsidR="00A867E2">
        <w:rPr>
          <w:szCs w:val="24"/>
        </w:rPr>
        <w:t>context</w:t>
      </w:r>
      <w:r w:rsidR="00A867E2" w:rsidRPr="006633B8">
        <w:rPr>
          <w:szCs w:val="24"/>
        </w:rPr>
        <w:t xml:space="preserve"> </w:t>
      </w:r>
      <w:r w:rsidR="005E78C4" w:rsidRPr="006633B8">
        <w:rPr>
          <w:szCs w:val="24"/>
        </w:rPr>
        <w:t xml:space="preserve">report </w:t>
      </w:r>
      <w:r w:rsidR="004E2E79" w:rsidRPr="006633B8">
        <w:rPr>
          <w:szCs w:val="24"/>
        </w:rPr>
        <w:t xml:space="preserve">detail the following highlights: </w:t>
      </w:r>
    </w:p>
    <w:p w14:paraId="37C9307B" w14:textId="3D734899" w:rsidR="00F12B53" w:rsidRPr="006633B8" w:rsidRDefault="004E2E79" w:rsidP="008807A7">
      <w:pPr>
        <w:pStyle w:val="ListParagraph"/>
        <w:numPr>
          <w:ilvl w:val="0"/>
          <w:numId w:val="49"/>
        </w:numPr>
        <w:ind w:left="1418" w:hanging="567"/>
        <w:rPr>
          <w:sz w:val="24"/>
          <w:szCs w:val="24"/>
        </w:rPr>
      </w:pPr>
      <w:r w:rsidRPr="006633B8">
        <w:rPr>
          <w:sz w:val="24"/>
          <w:szCs w:val="24"/>
        </w:rPr>
        <w:t>M</w:t>
      </w:r>
      <w:r w:rsidR="00663EFA" w:rsidRPr="006633B8">
        <w:rPr>
          <w:sz w:val="24"/>
          <w:szCs w:val="24"/>
        </w:rPr>
        <w:t xml:space="preserve">ost current infrastructure levels are </w:t>
      </w:r>
      <w:r w:rsidR="00242C04">
        <w:rPr>
          <w:sz w:val="24"/>
          <w:szCs w:val="24"/>
        </w:rPr>
        <w:t xml:space="preserve">generally </w:t>
      </w:r>
      <w:r w:rsidR="00663EFA" w:rsidRPr="006633B8">
        <w:rPr>
          <w:sz w:val="24"/>
          <w:szCs w:val="24"/>
        </w:rPr>
        <w:t>a</w:t>
      </w:r>
      <w:r w:rsidR="000723F7" w:rsidRPr="006633B8">
        <w:rPr>
          <w:sz w:val="24"/>
          <w:szCs w:val="24"/>
        </w:rPr>
        <w:t xml:space="preserve">dequate </w:t>
      </w:r>
      <w:proofErr w:type="gramStart"/>
      <w:r w:rsidR="000723F7" w:rsidRPr="006633B8">
        <w:rPr>
          <w:sz w:val="24"/>
          <w:szCs w:val="24"/>
        </w:rPr>
        <w:t>with the exception of</w:t>
      </w:r>
      <w:proofErr w:type="gramEnd"/>
      <w:r w:rsidR="000723F7" w:rsidRPr="006633B8">
        <w:rPr>
          <w:sz w:val="24"/>
          <w:szCs w:val="24"/>
        </w:rPr>
        <w:t xml:space="preserve"> EV charging points</w:t>
      </w:r>
      <w:r w:rsidR="004448C4">
        <w:rPr>
          <w:sz w:val="24"/>
          <w:szCs w:val="24"/>
        </w:rPr>
        <w:t xml:space="preserve"> and</w:t>
      </w:r>
      <w:r w:rsidR="000723F7" w:rsidRPr="006633B8">
        <w:rPr>
          <w:sz w:val="24"/>
          <w:szCs w:val="24"/>
        </w:rPr>
        <w:t xml:space="preserve"> cycle </w:t>
      </w:r>
      <w:r w:rsidR="00AB6D1C" w:rsidRPr="006633B8">
        <w:rPr>
          <w:sz w:val="24"/>
          <w:szCs w:val="24"/>
        </w:rPr>
        <w:t>infrastructure</w:t>
      </w:r>
      <w:r w:rsidR="004448C4">
        <w:rPr>
          <w:sz w:val="24"/>
          <w:szCs w:val="24"/>
        </w:rPr>
        <w:t>.</w:t>
      </w:r>
      <w:r w:rsidR="000723F7" w:rsidRPr="006633B8">
        <w:rPr>
          <w:sz w:val="24"/>
          <w:szCs w:val="24"/>
        </w:rPr>
        <w:t xml:space="preserve"> </w:t>
      </w:r>
    </w:p>
    <w:p w14:paraId="6DA35146" w14:textId="77777777" w:rsidR="0032296A" w:rsidRPr="006633B8" w:rsidRDefault="0032296A" w:rsidP="008807A7">
      <w:pPr>
        <w:ind w:left="1418" w:hanging="567"/>
        <w:rPr>
          <w:szCs w:val="24"/>
        </w:rPr>
      </w:pPr>
    </w:p>
    <w:p w14:paraId="0324157C" w14:textId="3BA27ECC" w:rsidR="0032296A" w:rsidRPr="006633B8" w:rsidRDefault="0032296A" w:rsidP="008807A7">
      <w:pPr>
        <w:pStyle w:val="ListParagraph"/>
        <w:numPr>
          <w:ilvl w:val="0"/>
          <w:numId w:val="49"/>
        </w:numPr>
        <w:ind w:left="1418" w:hanging="567"/>
        <w:rPr>
          <w:sz w:val="24"/>
          <w:szCs w:val="24"/>
        </w:rPr>
      </w:pPr>
      <w:r w:rsidRPr="006633B8">
        <w:rPr>
          <w:sz w:val="24"/>
          <w:szCs w:val="24"/>
        </w:rPr>
        <w:t>Reinforc</w:t>
      </w:r>
      <w:r w:rsidR="00AB6D1C" w:rsidRPr="006633B8">
        <w:rPr>
          <w:sz w:val="24"/>
          <w:szCs w:val="24"/>
        </w:rPr>
        <w:t>ement of electrical infrastructure is required</w:t>
      </w:r>
      <w:r w:rsidR="00A3704F">
        <w:rPr>
          <w:sz w:val="24"/>
          <w:szCs w:val="24"/>
        </w:rPr>
        <w:t>.</w:t>
      </w:r>
      <w:r w:rsidR="00AB6D1C" w:rsidRPr="006633B8">
        <w:rPr>
          <w:sz w:val="24"/>
          <w:szCs w:val="24"/>
        </w:rPr>
        <w:t xml:space="preserve"> </w:t>
      </w:r>
      <w:r w:rsidR="00A3704F">
        <w:rPr>
          <w:sz w:val="24"/>
          <w:szCs w:val="24"/>
        </w:rPr>
        <w:t>O</w:t>
      </w:r>
      <w:r w:rsidR="00665F45" w:rsidRPr="006633B8">
        <w:rPr>
          <w:sz w:val="24"/>
          <w:szCs w:val="24"/>
        </w:rPr>
        <w:t xml:space="preserve">f the </w:t>
      </w:r>
      <w:r w:rsidR="00EF64E0" w:rsidRPr="006633B8">
        <w:rPr>
          <w:sz w:val="24"/>
          <w:szCs w:val="24"/>
        </w:rPr>
        <w:t xml:space="preserve">seven primary substations in Harrow, six </w:t>
      </w:r>
      <w:r w:rsidR="002216D0" w:rsidRPr="006633B8">
        <w:rPr>
          <w:sz w:val="24"/>
          <w:szCs w:val="24"/>
        </w:rPr>
        <w:t xml:space="preserve">were forecasted to </w:t>
      </w:r>
      <w:r w:rsidR="002216D0" w:rsidRPr="006633B8">
        <w:rPr>
          <w:sz w:val="24"/>
          <w:szCs w:val="24"/>
        </w:rPr>
        <w:lastRenderedPageBreak/>
        <w:t>have very little demand headroom, which is the spare capacity available in the network to accommodate additional demand without reinforcement.</w:t>
      </w:r>
    </w:p>
    <w:p w14:paraId="7E127AB8" w14:textId="77777777" w:rsidR="002216D0" w:rsidRPr="006633B8" w:rsidRDefault="002216D0" w:rsidP="008807A7">
      <w:pPr>
        <w:pStyle w:val="ListParagraph"/>
        <w:ind w:left="1418" w:hanging="567"/>
        <w:rPr>
          <w:sz w:val="24"/>
          <w:szCs w:val="24"/>
        </w:rPr>
      </w:pPr>
    </w:p>
    <w:p w14:paraId="6343A616" w14:textId="4FE3758D" w:rsidR="00106813" w:rsidRPr="006633B8" w:rsidRDefault="000E0B64" w:rsidP="008807A7">
      <w:pPr>
        <w:pStyle w:val="ListParagraph"/>
        <w:numPr>
          <w:ilvl w:val="0"/>
          <w:numId w:val="49"/>
        </w:numPr>
        <w:ind w:left="1418" w:hanging="567"/>
        <w:rPr>
          <w:sz w:val="24"/>
          <w:szCs w:val="24"/>
        </w:rPr>
      </w:pPr>
      <w:r>
        <w:rPr>
          <w:sz w:val="24"/>
          <w:szCs w:val="24"/>
        </w:rPr>
        <w:t>Energy Performance Certificate (</w:t>
      </w:r>
      <w:r w:rsidR="00CA2319" w:rsidRPr="006633B8">
        <w:rPr>
          <w:sz w:val="24"/>
          <w:szCs w:val="24"/>
        </w:rPr>
        <w:t>EPC</w:t>
      </w:r>
      <w:r>
        <w:rPr>
          <w:sz w:val="24"/>
          <w:szCs w:val="24"/>
        </w:rPr>
        <w:t>)</w:t>
      </w:r>
      <w:r w:rsidR="00CA2319" w:rsidRPr="006633B8">
        <w:rPr>
          <w:sz w:val="24"/>
          <w:szCs w:val="24"/>
        </w:rPr>
        <w:t xml:space="preserve"> ratings for residential properties in Harrow are quite low. </w:t>
      </w:r>
      <w:r w:rsidR="00106813" w:rsidRPr="006633B8">
        <w:rPr>
          <w:sz w:val="24"/>
          <w:szCs w:val="24"/>
        </w:rPr>
        <w:t xml:space="preserve">28% of residential properties in Harrow have an EPC rating Band C, 41% are rated D, and 15% are rated E. South Harrow and West Harrow </w:t>
      </w:r>
      <w:proofErr w:type="gramStart"/>
      <w:r w:rsidR="00106813" w:rsidRPr="006633B8">
        <w:rPr>
          <w:sz w:val="24"/>
          <w:szCs w:val="24"/>
        </w:rPr>
        <w:t>in particular are</w:t>
      </w:r>
      <w:proofErr w:type="gramEnd"/>
      <w:r w:rsidR="00106813" w:rsidRPr="006633B8">
        <w:rPr>
          <w:sz w:val="24"/>
          <w:szCs w:val="24"/>
        </w:rPr>
        <w:t xml:space="preserve"> challenges with average EPC ratings of D and higher percentages of fuel poverty.</w:t>
      </w:r>
    </w:p>
    <w:p w14:paraId="4E1A7684" w14:textId="77777777" w:rsidR="00686579" w:rsidRPr="006633B8" w:rsidRDefault="00686579" w:rsidP="008807A7">
      <w:pPr>
        <w:ind w:left="1418" w:hanging="567"/>
        <w:rPr>
          <w:szCs w:val="24"/>
        </w:rPr>
      </w:pPr>
    </w:p>
    <w:p w14:paraId="3369D4B9" w14:textId="5F2AFB71" w:rsidR="002216D0" w:rsidRPr="006633B8" w:rsidRDefault="00FB2CB4" w:rsidP="008807A7">
      <w:pPr>
        <w:pStyle w:val="ListParagraph"/>
        <w:numPr>
          <w:ilvl w:val="0"/>
          <w:numId w:val="49"/>
        </w:numPr>
        <w:ind w:left="1418" w:hanging="567"/>
        <w:rPr>
          <w:sz w:val="24"/>
          <w:szCs w:val="24"/>
        </w:rPr>
      </w:pPr>
      <w:r w:rsidRPr="006633B8">
        <w:rPr>
          <w:sz w:val="24"/>
          <w:szCs w:val="24"/>
        </w:rPr>
        <w:t xml:space="preserve">There are currently 56 EV charge points in Harrow and the need is forecasted to be 4,156 by 2030. Belmont, Canons Park, and Headstone appear to lack charge points. Additionally, Harrow has fewer total EVs compared to other boroughs.  </w:t>
      </w:r>
      <w:r w:rsidR="00686579" w:rsidRPr="006633B8">
        <w:rPr>
          <w:sz w:val="24"/>
          <w:szCs w:val="24"/>
        </w:rPr>
        <w:br/>
      </w:r>
    </w:p>
    <w:p w14:paraId="1F10F4CD" w14:textId="0EFD1557" w:rsidR="0060100A" w:rsidRPr="006633B8" w:rsidRDefault="008F77F6" w:rsidP="008807A7">
      <w:pPr>
        <w:pStyle w:val="ListParagraph"/>
        <w:numPr>
          <w:ilvl w:val="0"/>
          <w:numId w:val="49"/>
        </w:numPr>
        <w:ind w:left="1418" w:hanging="567"/>
        <w:rPr>
          <w:sz w:val="24"/>
          <w:szCs w:val="24"/>
        </w:rPr>
      </w:pPr>
      <w:r w:rsidRPr="006633B8">
        <w:rPr>
          <w:sz w:val="24"/>
          <w:szCs w:val="24"/>
        </w:rPr>
        <w:t>Broadband provision in the borough is generally good and is close to the London average, but full-fibre connectivity rates are amongst the lowest in London.</w:t>
      </w:r>
      <w:r w:rsidR="00302B40" w:rsidRPr="006633B8">
        <w:rPr>
          <w:sz w:val="24"/>
          <w:szCs w:val="24"/>
        </w:rPr>
        <w:t xml:space="preserve"> </w:t>
      </w:r>
      <w:r w:rsidR="004A29D5" w:rsidRPr="006633B8">
        <w:rPr>
          <w:sz w:val="24"/>
          <w:szCs w:val="24"/>
        </w:rPr>
        <w:t xml:space="preserve">Planned works are </w:t>
      </w:r>
      <w:r w:rsidR="001919EA" w:rsidRPr="006633B8">
        <w:rPr>
          <w:sz w:val="24"/>
          <w:szCs w:val="24"/>
        </w:rPr>
        <w:t xml:space="preserve">anticipated to roll out </w:t>
      </w:r>
      <w:proofErr w:type="gramStart"/>
      <w:r w:rsidR="001919EA" w:rsidRPr="006633B8">
        <w:rPr>
          <w:sz w:val="24"/>
          <w:szCs w:val="24"/>
        </w:rPr>
        <w:t>full-fibre</w:t>
      </w:r>
      <w:proofErr w:type="gramEnd"/>
      <w:r w:rsidR="001919EA" w:rsidRPr="006633B8">
        <w:rPr>
          <w:sz w:val="24"/>
          <w:szCs w:val="24"/>
        </w:rPr>
        <w:t xml:space="preserve"> across several networks by 2028.</w:t>
      </w:r>
      <w:r w:rsidR="00686579" w:rsidRPr="006633B8">
        <w:rPr>
          <w:sz w:val="24"/>
          <w:szCs w:val="24"/>
        </w:rPr>
        <w:br/>
      </w:r>
    </w:p>
    <w:p w14:paraId="00CAE9EB" w14:textId="61EFF787" w:rsidR="001919EA" w:rsidRPr="006633B8" w:rsidRDefault="00550BB3" w:rsidP="008807A7">
      <w:pPr>
        <w:pStyle w:val="ListParagraph"/>
        <w:numPr>
          <w:ilvl w:val="0"/>
          <w:numId w:val="49"/>
        </w:numPr>
        <w:ind w:left="1418" w:hanging="567"/>
        <w:rPr>
          <w:sz w:val="24"/>
          <w:szCs w:val="24"/>
        </w:rPr>
      </w:pPr>
      <w:r w:rsidRPr="006633B8">
        <w:rPr>
          <w:sz w:val="24"/>
          <w:szCs w:val="24"/>
        </w:rPr>
        <w:t xml:space="preserve">A series of flood management infrastructure projects have been planned, </w:t>
      </w:r>
      <w:r w:rsidR="006B60D6" w:rsidRPr="006633B8">
        <w:rPr>
          <w:sz w:val="24"/>
          <w:szCs w:val="24"/>
        </w:rPr>
        <w:t xml:space="preserve">although financing these projects </w:t>
      </w:r>
      <w:r w:rsidR="004E366E" w:rsidRPr="006633B8">
        <w:rPr>
          <w:sz w:val="24"/>
          <w:szCs w:val="24"/>
        </w:rPr>
        <w:t xml:space="preserve">will be difficult. </w:t>
      </w:r>
      <w:r w:rsidR="003A1705" w:rsidRPr="006633B8">
        <w:rPr>
          <w:sz w:val="24"/>
          <w:szCs w:val="24"/>
        </w:rPr>
        <w:t>Sewer infrastructure is owned by Thames</w:t>
      </w:r>
      <w:r w:rsidR="00460ADB">
        <w:rPr>
          <w:sz w:val="24"/>
          <w:szCs w:val="24"/>
        </w:rPr>
        <w:t xml:space="preserve"> W</w:t>
      </w:r>
      <w:r w:rsidR="00460ADB" w:rsidRPr="006633B8">
        <w:rPr>
          <w:sz w:val="24"/>
          <w:szCs w:val="24"/>
        </w:rPr>
        <w:t>ater</w:t>
      </w:r>
      <w:r w:rsidR="00165747" w:rsidRPr="006633B8">
        <w:rPr>
          <w:sz w:val="24"/>
          <w:szCs w:val="24"/>
        </w:rPr>
        <w:t xml:space="preserve">, ongoing liaison </w:t>
      </w:r>
      <w:r w:rsidR="00437321" w:rsidRPr="006633B8">
        <w:rPr>
          <w:sz w:val="24"/>
          <w:szCs w:val="24"/>
        </w:rPr>
        <w:t xml:space="preserve">will be required to ensure that upgrades are completed. </w:t>
      </w:r>
      <w:r w:rsidR="00686579" w:rsidRPr="006633B8">
        <w:rPr>
          <w:sz w:val="24"/>
          <w:szCs w:val="24"/>
        </w:rPr>
        <w:br/>
      </w:r>
    </w:p>
    <w:p w14:paraId="7FA1FC40" w14:textId="0EAB11EC" w:rsidR="00437321" w:rsidRPr="006633B8" w:rsidRDefault="006B58A7" w:rsidP="008807A7">
      <w:pPr>
        <w:pStyle w:val="ListParagraph"/>
        <w:numPr>
          <w:ilvl w:val="0"/>
          <w:numId w:val="49"/>
        </w:numPr>
        <w:ind w:left="1418" w:hanging="567"/>
        <w:rPr>
          <w:sz w:val="24"/>
          <w:szCs w:val="24"/>
        </w:rPr>
      </w:pPr>
      <w:r w:rsidRPr="006633B8">
        <w:rPr>
          <w:sz w:val="24"/>
          <w:szCs w:val="24"/>
        </w:rPr>
        <w:t>Additional waste management facilities will need to be developed in West London during the Plan period up to 2031 to address the ‘gap’ between the apportionment target and the waste management capacity that currently exists. West London Boroughs will need to have an additional 9.4 hectares of land available for waste management to meet these needs</w:t>
      </w:r>
      <w:r w:rsidR="00026D15" w:rsidRPr="006633B8">
        <w:rPr>
          <w:sz w:val="24"/>
          <w:szCs w:val="24"/>
        </w:rPr>
        <w:t xml:space="preserve"> delivered through eight existing sites</w:t>
      </w:r>
      <w:r w:rsidRPr="006633B8">
        <w:rPr>
          <w:sz w:val="24"/>
          <w:szCs w:val="24"/>
        </w:rPr>
        <w:t xml:space="preserve"> (including Forward Drive in Harrow)</w:t>
      </w:r>
      <w:r w:rsidR="00026D15" w:rsidRPr="006633B8">
        <w:rPr>
          <w:sz w:val="24"/>
          <w:szCs w:val="24"/>
        </w:rPr>
        <w:t>.</w:t>
      </w:r>
      <w:r w:rsidR="00686579" w:rsidRPr="006633B8">
        <w:rPr>
          <w:sz w:val="24"/>
          <w:szCs w:val="24"/>
        </w:rPr>
        <w:br/>
      </w:r>
    </w:p>
    <w:p w14:paraId="1E745DD2" w14:textId="1BE729B6" w:rsidR="00026D15" w:rsidRPr="006633B8" w:rsidRDefault="006E5D47" w:rsidP="008807A7">
      <w:pPr>
        <w:pStyle w:val="ListParagraph"/>
        <w:numPr>
          <w:ilvl w:val="0"/>
          <w:numId w:val="49"/>
        </w:numPr>
        <w:ind w:left="1418" w:hanging="567"/>
        <w:rPr>
          <w:sz w:val="24"/>
          <w:szCs w:val="24"/>
        </w:rPr>
      </w:pPr>
      <w:r>
        <w:rPr>
          <w:sz w:val="24"/>
          <w:szCs w:val="24"/>
        </w:rPr>
        <w:t>There is a</w:t>
      </w:r>
      <w:r w:rsidR="008B32A3" w:rsidRPr="006633B8">
        <w:rPr>
          <w:sz w:val="24"/>
          <w:szCs w:val="24"/>
        </w:rPr>
        <w:t xml:space="preserve"> significant </w:t>
      </w:r>
      <w:r w:rsidR="0082563C" w:rsidRPr="006633B8">
        <w:rPr>
          <w:sz w:val="24"/>
          <w:szCs w:val="24"/>
        </w:rPr>
        <w:t>requirement</w:t>
      </w:r>
      <w:r w:rsidR="008B32A3" w:rsidRPr="006633B8">
        <w:rPr>
          <w:sz w:val="24"/>
          <w:szCs w:val="24"/>
        </w:rPr>
        <w:t xml:space="preserve"> for more Special Education Needs and Disabilities (SEND) </w:t>
      </w:r>
      <w:r w:rsidR="00F11F41" w:rsidRPr="006633B8">
        <w:rPr>
          <w:sz w:val="24"/>
          <w:szCs w:val="24"/>
        </w:rPr>
        <w:t xml:space="preserve">places, provision is currently insufficient. </w:t>
      </w:r>
      <w:r w:rsidR="00686579" w:rsidRPr="006633B8">
        <w:rPr>
          <w:sz w:val="24"/>
          <w:szCs w:val="24"/>
        </w:rPr>
        <w:br/>
      </w:r>
    </w:p>
    <w:p w14:paraId="0028870E" w14:textId="20020BDB" w:rsidR="008B32A3" w:rsidRPr="006633B8" w:rsidRDefault="00560F4C" w:rsidP="008807A7">
      <w:pPr>
        <w:pStyle w:val="ListParagraph"/>
        <w:numPr>
          <w:ilvl w:val="0"/>
          <w:numId w:val="49"/>
        </w:numPr>
        <w:ind w:left="1418" w:hanging="567"/>
        <w:rPr>
          <w:sz w:val="24"/>
          <w:szCs w:val="24"/>
        </w:rPr>
      </w:pPr>
      <w:r w:rsidRPr="006633B8">
        <w:rPr>
          <w:sz w:val="24"/>
          <w:szCs w:val="24"/>
        </w:rPr>
        <w:t xml:space="preserve">There is an identified need to replace or improve existing leisure and recreation facilities in the borough. </w:t>
      </w:r>
      <w:r w:rsidR="00686579" w:rsidRPr="006633B8">
        <w:rPr>
          <w:sz w:val="24"/>
          <w:szCs w:val="24"/>
        </w:rPr>
        <w:br/>
      </w:r>
    </w:p>
    <w:p w14:paraId="7039C3EF" w14:textId="098D9951" w:rsidR="00560F4C" w:rsidRPr="006633B8" w:rsidRDefault="00683580" w:rsidP="008807A7">
      <w:pPr>
        <w:pStyle w:val="ListParagraph"/>
        <w:numPr>
          <w:ilvl w:val="0"/>
          <w:numId w:val="49"/>
        </w:numPr>
        <w:ind w:left="1418" w:hanging="567"/>
        <w:rPr>
          <w:sz w:val="24"/>
          <w:szCs w:val="24"/>
        </w:rPr>
      </w:pPr>
      <w:r w:rsidRPr="006633B8">
        <w:rPr>
          <w:sz w:val="24"/>
          <w:szCs w:val="24"/>
        </w:rPr>
        <w:t>Need for healthcare infrastructure is increasing</w:t>
      </w:r>
      <w:r w:rsidR="00DE159E" w:rsidRPr="006633B8">
        <w:rPr>
          <w:sz w:val="24"/>
          <w:szCs w:val="24"/>
        </w:rPr>
        <w:t>. There is expected to be a 38% increase in people aged 65 by 2041, which will put sustained pressure on services across the system.</w:t>
      </w:r>
      <w:r w:rsidR="00686579" w:rsidRPr="006633B8">
        <w:rPr>
          <w:sz w:val="24"/>
          <w:szCs w:val="24"/>
        </w:rPr>
        <w:br/>
      </w:r>
    </w:p>
    <w:p w14:paraId="4797D9DB" w14:textId="002D4F82" w:rsidR="00985204" w:rsidRPr="006633B8" w:rsidRDefault="00031151" w:rsidP="008807A7">
      <w:pPr>
        <w:pStyle w:val="ListParagraph"/>
        <w:numPr>
          <w:ilvl w:val="0"/>
          <w:numId w:val="49"/>
        </w:numPr>
        <w:ind w:left="1418" w:hanging="567"/>
        <w:rPr>
          <w:sz w:val="24"/>
          <w:szCs w:val="24"/>
        </w:rPr>
      </w:pPr>
      <w:r w:rsidRPr="006633B8">
        <w:rPr>
          <w:sz w:val="24"/>
          <w:szCs w:val="24"/>
        </w:rPr>
        <w:t xml:space="preserve">Many community halls in Harrow </w:t>
      </w:r>
      <w:r w:rsidR="007A14C5" w:rsidRPr="006633B8">
        <w:rPr>
          <w:sz w:val="24"/>
          <w:szCs w:val="24"/>
        </w:rPr>
        <w:t xml:space="preserve">require refurbishment, and the location of some existing halls pose accessibility issues for some residents. </w:t>
      </w:r>
      <w:r w:rsidR="00E72EC6" w:rsidRPr="006633B8">
        <w:rPr>
          <w:sz w:val="24"/>
          <w:szCs w:val="24"/>
        </w:rPr>
        <w:t xml:space="preserve">Existing community halls need to be retained and improved. </w:t>
      </w:r>
      <w:r w:rsidR="00686579" w:rsidRPr="006633B8">
        <w:rPr>
          <w:sz w:val="24"/>
          <w:szCs w:val="24"/>
        </w:rPr>
        <w:br/>
      </w:r>
    </w:p>
    <w:p w14:paraId="3ED822E6" w14:textId="1FD12D27" w:rsidR="007A14C5" w:rsidRPr="006633B8" w:rsidRDefault="00B917F9" w:rsidP="008807A7">
      <w:pPr>
        <w:pStyle w:val="ListParagraph"/>
        <w:numPr>
          <w:ilvl w:val="0"/>
          <w:numId w:val="49"/>
        </w:numPr>
        <w:ind w:left="1418" w:hanging="567"/>
        <w:rPr>
          <w:sz w:val="24"/>
          <w:szCs w:val="24"/>
        </w:rPr>
      </w:pPr>
      <w:r w:rsidRPr="006633B8">
        <w:rPr>
          <w:sz w:val="24"/>
          <w:szCs w:val="24"/>
        </w:rPr>
        <w:t>The role of libraries is changing</w:t>
      </w:r>
      <w:r w:rsidR="00A3704F">
        <w:rPr>
          <w:sz w:val="24"/>
          <w:szCs w:val="24"/>
        </w:rPr>
        <w:t>.</w:t>
      </w:r>
      <w:r w:rsidRPr="006633B8">
        <w:rPr>
          <w:sz w:val="24"/>
          <w:szCs w:val="24"/>
        </w:rPr>
        <w:t xml:space="preserve"> </w:t>
      </w:r>
      <w:r w:rsidR="00A3704F">
        <w:rPr>
          <w:sz w:val="24"/>
          <w:szCs w:val="24"/>
        </w:rPr>
        <w:t>T</w:t>
      </w:r>
      <w:r w:rsidRPr="006633B8">
        <w:rPr>
          <w:sz w:val="24"/>
          <w:szCs w:val="24"/>
        </w:rPr>
        <w:t xml:space="preserve">hey need to adapt to modern media consumption </w:t>
      </w:r>
      <w:r w:rsidR="00CC2617" w:rsidRPr="006633B8">
        <w:rPr>
          <w:sz w:val="24"/>
          <w:szCs w:val="24"/>
        </w:rPr>
        <w:t xml:space="preserve">and act as community hubs, </w:t>
      </w:r>
      <w:r w:rsidR="0061462D" w:rsidRPr="006633B8">
        <w:rPr>
          <w:sz w:val="24"/>
          <w:szCs w:val="24"/>
        </w:rPr>
        <w:t xml:space="preserve">hosting a </w:t>
      </w:r>
      <w:r w:rsidR="0061462D" w:rsidRPr="006633B8">
        <w:rPr>
          <w:sz w:val="24"/>
          <w:szCs w:val="24"/>
        </w:rPr>
        <w:lastRenderedPageBreak/>
        <w:t>variety of services in addition to their traditional role focused on book lending, as well as increasing opening hours and automated library lending.</w:t>
      </w:r>
      <w:r w:rsidR="00686579" w:rsidRPr="006633B8">
        <w:rPr>
          <w:sz w:val="24"/>
          <w:szCs w:val="24"/>
        </w:rPr>
        <w:br/>
      </w:r>
    </w:p>
    <w:p w14:paraId="29DBC66A" w14:textId="30F181F4" w:rsidR="0035772D" w:rsidRPr="006633B8" w:rsidRDefault="009066CE" w:rsidP="008807A7">
      <w:pPr>
        <w:pStyle w:val="ListParagraph"/>
        <w:numPr>
          <w:ilvl w:val="0"/>
          <w:numId w:val="49"/>
        </w:numPr>
        <w:ind w:left="1418" w:hanging="567"/>
        <w:rPr>
          <w:sz w:val="24"/>
          <w:szCs w:val="24"/>
        </w:rPr>
      </w:pPr>
      <w:r w:rsidRPr="006633B8">
        <w:rPr>
          <w:sz w:val="24"/>
          <w:szCs w:val="24"/>
        </w:rPr>
        <w:t xml:space="preserve">Most parts of the borough have a deficiency in access to </w:t>
      </w:r>
      <w:r w:rsidR="00DD5436" w:rsidRPr="006633B8">
        <w:rPr>
          <w:sz w:val="24"/>
          <w:szCs w:val="24"/>
        </w:rPr>
        <w:t>open space</w:t>
      </w:r>
      <w:r w:rsidR="00B9674C" w:rsidRPr="006633B8">
        <w:rPr>
          <w:sz w:val="24"/>
          <w:szCs w:val="24"/>
        </w:rPr>
        <w:t>.</w:t>
      </w:r>
      <w:r w:rsidR="0035772D" w:rsidRPr="006633B8">
        <w:rPr>
          <w:sz w:val="24"/>
          <w:szCs w:val="24"/>
        </w:rPr>
        <w:t xml:space="preserve"> The increased use of Harrow’s green spaces (during and post covid) has resulted in a negative impact on the health and biodiversity of the spaces.</w:t>
      </w:r>
    </w:p>
    <w:p w14:paraId="5341C446" w14:textId="6F57A28D" w:rsidR="0061462D" w:rsidRPr="006633B8" w:rsidRDefault="0061462D" w:rsidP="00085962">
      <w:pPr>
        <w:pStyle w:val="ListParagraph"/>
        <w:ind w:left="1080"/>
        <w:rPr>
          <w:sz w:val="24"/>
          <w:szCs w:val="24"/>
        </w:rPr>
      </w:pPr>
    </w:p>
    <w:p w14:paraId="181E3259" w14:textId="69027AB7" w:rsidR="00237C55" w:rsidRDefault="00085962" w:rsidP="008807A7">
      <w:pPr>
        <w:ind w:left="851" w:hanging="851"/>
        <w:jc w:val="both"/>
      </w:pPr>
      <w:r>
        <w:t xml:space="preserve">4.5 </w:t>
      </w:r>
      <w:r>
        <w:tab/>
      </w:r>
      <w:r w:rsidR="00365864">
        <w:t xml:space="preserve">This information will be used </w:t>
      </w:r>
      <w:r w:rsidR="00EB2DD2">
        <w:t xml:space="preserve">to form </w:t>
      </w:r>
      <w:r w:rsidR="00365864">
        <w:t xml:space="preserve">part of </w:t>
      </w:r>
      <w:r w:rsidR="00EB2DD2">
        <w:t xml:space="preserve">the </w:t>
      </w:r>
      <w:r w:rsidR="00D07798">
        <w:t>first (</w:t>
      </w:r>
      <w:r w:rsidR="00EB2DD2">
        <w:t>Regulation 18</w:t>
      </w:r>
      <w:r w:rsidR="00D07798">
        <w:t>)</w:t>
      </w:r>
      <w:r w:rsidR="00EB2DD2">
        <w:t xml:space="preserve"> draft of the </w:t>
      </w:r>
      <w:r w:rsidR="00F324E9">
        <w:t>new Harrow</w:t>
      </w:r>
      <w:r w:rsidR="00237C55">
        <w:t xml:space="preserve"> Local Plan, which is scheduled to be consulted on end of </w:t>
      </w:r>
      <w:r w:rsidR="00202D9A">
        <w:t>2023 / early 2024</w:t>
      </w:r>
      <w:r w:rsidR="00237C55">
        <w:t xml:space="preserve">. </w:t>
      </w:r>
      <w:r w:rsidR="00131CED">
        <w:t xml:space="preserve">Additionally, the IDP will assist in forming a view on site allocations as they relate to </w:t>
      </w:r>
      <w:r w:rsidR="00400C78">
        <w:t>infrastructure and</w:t>
      </w:r>
      <w:r w:rsidR="00EF0114">
        <w:t xml:space="preserve"> </w:t>
      </w:r>
      <w:r w:rsidR="00A3781B">
        <w:t xml:space="preserve">assist in forming decisions on future Community Infrastructure </w:t>
      </w:r>
      <w:r w:rsidR="00EF2018">
        <w:t xml:space="preserve">Levy (CIL) spending. </w:t>
      </w:r>
    </w:p>
    <w:p w14:paraId="709BFA76" w14:textId="77777777" w:rsidR="00400C78" w:rsidRPr="0046660A" w:rsidRDefault="00400C78" w:rsidP="008807A7">
      <w:pPr>
        <w:ind w:left="851" w:hanging="851"/>
        <w:jc w:val="both"/>
      </w:pPr>
    </w:p>
    <w:p w14:paraId="1046E7BE" w14:textId="5D8C8CE0" w:rsidR="00410C2B" w:rsidRPr="00F06E4E" w:rsidRDefault="009F27E7" w:rsidP="003F55C8">
      <w:pPr>
        <w:keepNext/>
        <w:spacing w:before="240"/>
        <w:ind w:left="851" w:hanging="851"/>
        <w:rPr>
          <w:b/>
          <w:szCs w:val="24"/>
        </w:rPr>
      </w:pPr>
      <w:r>
        <w:rPr>
          <w:b/>
          <w:szCs w:val="24"/>
        </w:rPr>
        <w:t xml:space="preserve">4.6 </w:t>
      </w:r>
      <w:r>
        <w:rPr>
          <w:b/>
          <w:szCs w:val="24"/>
        </w:rPr>
        <w:tab/>
      </w:r>
      <w:r w:rsidR="00410C2B" w:rsidRPr="00F06E4E">
        <w:rPr>
          <w:b/>
          <w:szCs w:val="24"/>
        </w:rPr>
        <w:t xml:space="preserve">Ward Councillors’ comments </w:t>
      </w:r>
    </w:p>
    <w:p w14:paraId="0B3514A8" w14:textId="16F491F1" w:rsidR="00410C2B" w:rsidRPr="00B94AFD" w:rsidRDefault="00B94AFD" w:rsidP="003F55C8">
      <w:pPr>
        <w:ind w:left="851"/>
        <w:rPr>
          <w:bCs/>
        </w:rPr>
      </w:pPr>
      <w:r w:rsidRPr="00B94AFD">
        <w:rPr>
          <w:bCs/>
        </w:rPr>
        <w:t xml:space="preserve">None, report for information only. </w:t>
      </w:r>
    </w:p>
    <w:p w14:paraId="34C7F667" w14:textId="77777777" w:rsidR="00167ACC" w:rsidRPr="00B54AFA" w:rsidRDefault="00167ACC" w:rsidP="00167ACC">
      <w:pPr>
        <w:tabs>
          <w:tab w:val="left" w:pos="7245"/>
        </w:tabs>
        <w:rPr>
          <w:i/>
          <w:color w:val="0000FF"/>
        </w:rPr>
      </w:pPr>
    </w:p>
    <w:p w14:paraId="76449499" w14:textId="31E23A8A" w:rsidR="00167ACC" w:rsidRDefault="00167ACC" w:rsidP="003F55C8">
      <w:pPr>
        <w:pStyle w:val="Heading3"/>
        <w:keepNext/>
        <w:numPr>
          <w:ilvl w:val="0"/>
          <w:numId w:val="47"/>
        </w:numPr>
        <w:ind w:left="851" w:hanging="851"/>
      </w:pPr>
      <w:r>
        <w:t>Risk Management Implications</w:t>
      </w:r>
    </w:p>
    <w:p w14:paraId="1B87076E" w14:textId="77777777" w:rsidR="00167ACC" w:rsidRDefault="00167ACC" w:rsidP="003F55C8">
      <w:pPr>
        <w:keepNext/>
        <w:tabs>
          <w:tab w:val="left" w:pos="5610"/>
        </w:tabs>
        <w:ind w:left="851" w:right="81" w:hanging="851"/>
        <w:rPr>
          <w:rFonts w:cs="Arial"/>
          <w:szCs w:val="24"/>
          <w:lang w:val="en-US"/>
        </w:rPr>
      </w:pPr>
    </w:p>
    <w:p w14:paraId="2634C17B" w14:textId="2C7C4D79" w:rsidR="00167ACC" w:rsidRPr="00105B8A" w:rsidRDefault="009F27E7" w:rsidP="008807A7">
      <w:pPr>
        <w:tabs>
          <w:tab w:val="left" w:pos="5610"/>
        </w:tabs>
        <w:ind w:left="851" w:right="81" w:hanging="851"/>
        <w:rPr>
          <w:color w:val="0000FF"/>
        </w:rPr>
      </w:pPr>
      <w:r>
        <w:rPr>
          <w:rFonts w:cs="Arial"/>
          <w:szCs w:val="24"/>
          <w:lang w:val="en-US"/>
        </w:rPr>
        <w:t>5.1</w:t>
      </w:r>
      <w:r w:rsidR="008807A7">
        <w:rPr>
          <w:rFonts w:cs="Arial"/>
          <w:szCs w:val="24"/>
          <w:lang w:val="en-US"/>
        </w:rPr>
        <w:tab/>
      </w:r>
      <w:r w:rsidR="00167ACC">
        <w:rPr>
          <w:rFonts w:cs="Arial"/>
          <w:szCs w:val="24"/>
          <w:lang w:val="en-US"/>
        </w:rPr>
        <w:t xml:space="preserve">Risks included on corporate or directorate risk register? </w:t>
      </w:r>
      <w:r w:rsidR="00167ACC">
        <w:rPr>
          <w:rFonts w:cs="Arial"/>
          <w:b/>
          <w:bCs/>
          <w:szCs w:val="24"/>
          <w:lang w:val="en-US"/>
        </w:rPr>
        <w:t>No</w:t>
      </w:r>
      <w:r w:rsidR="00167ACC">
        <w:rPr>
          <w:rFonts w:cs="Arial"/>
          <w:szCs w:val="24"/>
          <w:lang w:val="en-US"/>
        </w:rPr>
        <w:t xml:space="preserve"> </w:t>
      </w:r>
    </w:p>
    <w:p w14:paraId="50EF6034" w14:textId="77777777" w:rsidR="00167ACC" w:rsidRDefault="00167ACC" w:rsidP="008807A7">
      <w:pPr>
        <w:ind w:left="851" w:right="141" w:hanging="851"/>
        <w:rPr>
          <w:rFonts w:cs="Arial"/>
          <w:szCs w:val="24"/>
          <w:lang w:val="en-US" w:eastAsia="en-GB"/>
        </w:rPr>
      </w:pPr>
      <w:r>
        <w:rPr>
          <w:rFonts w:cs="Arial"/>
          <w:szCs w:val="24"/>
          <w:lang w:val="en-US" w:eastAsia="en-GB"/>
        </w:rPr>
        <w:t xml:space="preserve">  </w:t>
      </w:r>
    </w:p>
    <w:p w14:paraId="0A4A808A" w14:textId="51E887F4" w:rsidR="00167ACC" w:rsidRDefault="009F27E7" w:rsidP="008807A7">
      <w:pPr>
        <w:ind w:left="851" w:right="141" w:hanging="851"/>
        <w:rPr>
          <w:rFonts w:cs="Arial"/>
          <w:color w:val="4F81BD" w:themeColor="accent1"/>
          <w:szCs w:val="24"/>
          <w:lang w:val="en-US" w:eastAsia="en-GB"/>
        </w:rPr>
      </w:pPr>
      <w:r>
        <w:rPr>
          <w:rFonts w:cs="Arial"/>
          <w:szCs w:val="24"/>
          <w:lang w:val="en-US" w:eastAsia="en-GB"/>
        </w:rPr>
        <w:t>5.2</w:t>
      </w:r>
      <w:r w:rsidR="008807A7">
        <w:rPr>
          <w:rFonts w:cs="Arial"/>
          <w:szCs w:val="24"/>
          <w:lang w:val="en-US" w:eastAsia="en-GB"/>
        </w:rPr>
        <w:tab/>
      </w:r>
      <w:r w:rsidR="00167ACC">
        <w:rPr>
          <w:rFonts w:cs="Arial"/>
          <w:szCs w:val="24"/>
          <w:lang w:val="en-US" w:eastAsia="en-GB"/>
        </w:rPr>
        <w:t xml:space="preserve">Separate risk register in place? </w:t>
      </w:r>
      <w:r w:rsidR="00167ACC">
        <w:rPr>
          <w:rFonts w:cs="Arial"/>
          <w:b/>
          <w:bCs/>
          <w:szCs w:val="24"/>
          <w:lang w:val="en-US" w:eastAsia="en-GB"/>
        </w:rPr>
        <w:t>Yes</w:t>
      </w:r>
      <w:r w:rsidR="00167ACC">
        <w:rPr>
          <w:rFonts w:cs="Arial"/>
          <w:szCs w:val="24"/>
          <w:lang w:val="en-US" w:eastAsia="en-GB"/>
        </w:rPr>
        <w:t xml:space="preserve"> </w:t>
      </w:r>
    </w:p>
    <w:p w14:paraId="6731D2D8" w14:textId="77777777" w:rsidR="00167ACC" w:rsidRDefault="00167ACC" w:rsidP="008807A7">
      <w:pPr>
        <w:tabs>
          <w:tab w:val="left" w:pos="5610"/>
        </w:tabs>
        <w:ind w:left="851" w:right="81" w:hanging="851"/>
      </w:pPr>
    </w:p>
    <w:p w14:paraId="7D72A8D1" w14:textId="0550E9C4" w:rsidR="00167ACC" w:rsidRDefault="009F27E7" w:rsidP="008807A7">
      <w:pPr>
        <w:tabs>
          <w:tab w:val="left" w:pos="5610"/>
        </w:tabs>
        <w:ind w:left="851" w:right="81" w:hanging="851"/>
      </w:pPr>
      <w:r>
        <w:t>5.3</w:t>
      </w:r>
      <w:r w:rsidR="008807A7">
        <w:tab/>
      </w:r>
      <w:r w:rsidR="00167ACC">
        <w:t xml:space="preserve">The relevant risks contained in the register are attached/summarised below. </w:t>
      </w:r>
      <w:r w:rsidR="00167ACC">
        <w:rPr>
          <w:rFonts w:cs="Arial"/>
          <w:b/>
          <w:bCs/>
          <w:szCs w:val="24"/>
          <w:lang w:val="en-US" w:eastAsia="en-GB"/>
        </w:rPr>
        <w:t xml:space="preserve">Yes </w:t>
      </w:r>
    </w:p>
    <w:p w14:paraId="32C35FE6" w14:textId="77777777" w:rsidR="00167ACC" w:rsidRDefault="00167ACC" w:rsidP="008807A7">
      <w:pPr>
        <w:ind w:left="851" w:hanging="851"/>
      </w:pPr>
    </w:p>
    <w:p w14:paraId="0C42CBB5" w14:textId="4BB7D15B" w:rsidR="00167ACC" w:rsidRDefault="009F27E7" w:rsidP="008807A7">
      <w:pPr>
        <w:ind w:left="851" w:hanging="851"/>
      </w:pPr>
      <w:r>
        <w:t xml:space="preserve">5.4 </w:t>
      </w:r>
      <w:r>
        <w:tab/>
      </w:r>
      <w:r w:rsidR="00167ACC">
        <w:t xml:space="preserve">The following key risks should be </w:t>
      </w:r>
      <w:proofErr w:type="gramStart"/>
      <w:r w:rsidR="00167ACC">
        <w:t>taken into account</w:t>
      </w:r>
      <w:proofErr w:type="gramEnd"/>
      <w:r w:rsidR="00167ACC">
        <w:t xml:space="preserve"> when agreeing the recommendations in this report:</w:t>
      </w:r>
    </w:p>
    <w:p w14:paraId="798D875D" w14:textId="77777777" w:rsidR="00167ACC" w:rsidRDefault="00167ACC" w:rsidP="00167ACC">
      <w:pPr>
        <w:ind w:left="567" w:right="141" w:hanging="567"/>
        <w:rPr>
          <w:rFonts w:cs="Arial"/>
          <w:szCs w:val="24"/>
          <w:lang w:val="en-US"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167ACC" w14:paraId="6CCADB40" w14:textId="77777777" w:rsidTr="009735EC">
        <w:trPr>
          <w:tblHeader/>
        </w:trPr>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8EE5DC" w14:textId="77777777" w:rsidR="00167ACC" w:rsidRDefault="00167ACC" w:rsidP="009735EC">
            <w:pPr>
              <w:spacing w:line="247" w:lineRule="auto"/>
              <w:ind w:right="141"/>
              <w:rPr>
                <w:rFonts w:cs="Arial"/>
                <w:b/>
                <w:bCs/>
                <w:szCs w:val="24"/>
                <w:lang w:val="en-US" w:eastAsia="en-GB"/>
              </w:rPr>
            </w:pPr>
            <w:r>
              <w:rPr>
                <w:rFonts w:cs="Arial"/>
                <w:b/>
                <w:bCs/>
                <w:szCs w:val="24"/>
                <w:lang w:val="en-US" w:eastAsia="en-GB"/>
              </w:rPr>
              <w:t>Risk Description</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14F221" w14:textId="77777777" w:rsidR="00167ACC" w:rsidRDefault="00167ACC" w:rsidP="009735EC">
            <w:pPr>
              <w:spacing w:line="247" w:lineRule="auto"/>
              <w:ind w:right="141"/>
              <w:rPr>
                <w:rFonts w:cs="Arial"/>
                <w:b/>
                <w:bCs/>
                <w:szCs w:val="24"/>
                <w:lang w:val="en-US" w:eastAsia="en-GB"/>
              </w:rPr>
            </w:pPr>
            <w:r>
              <w:rPr>
                <w:rFonts w:cs="Arial"/>
                <w:b/>
                <w:bCs/>
                <w:szCs w:val="24"/>
                <w:lang w:val="en-US" w:eastAsia="en-GB"/>
              </w:rPr>
              <w:t>Mitigations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14:paraId="3C99A139" w14:textId="77777777" w:rsidR="00167ACC" w:rsidRDefault="00167ACC" w:rsidP="009735EC">
            <w:pPr>
              <w:spacing w:line="247" w:lineRule="auto"/>
              <w:ind w:left="171" w:right="141"/>
              <w:rPr>
                <w:rFonts w:cs="Arial"/>
                <w:b/>
                <w:bCs/>
                <w:szCs w:val="24"/>
                <w:lang w:val="en-US" w:eastAsia="en-GB"/>
              </w:rPr>
            </w:pPr>
            <w:r>
              <w:rPr>
                <w:rFonts w:cs="Arial"/>
                <w:b/>
                <w:bCs/>
                <w:szCs w:val="24"/>
                <w:lang w:val="en-US" w:eastAsia="en-GB"/>
              </w:rPr>
              <w:t>RAG Status</w:t>
            </w:r>
          </w:p>
        </w:tc>
      </w:tr>
      <w:tr w:rsidR="00167ACC" w14:paraId="5D4AD6C3" w14:textId="77777777" w:rsidTr="008807A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4A1465" w14:textId="6BC97AB0" w:rsidR="00167ACC" w:rsidRDefault="0022797C" w:rsidP="009735EC">
            <w:pPr>
              <w:spacing w:line="247" w:lineRule="auto"/>
              <w:ind w:right="141"/>
              <w:rPr>
                <w:rFonts w:cs="Arial"/>
                <w:szCs w:val="24"/>
                <w:lang w:val="en-US" w:eastAsia="en-GB"/>
              </w:rPr>
            </w:pPr>
            <w:r>
              <w:rPr>
                <w:rFonts w:cs="Arial"/>
                <w:szCs w:val="24"/>
                <w:lang w:val="en-US" w:eastAsia="en-GB"/>
              </w:rPr>
              <w:t>Consultation with infrastructure providers is unsuccessful.</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D4121" w14:textId="31A5D66B" w:rsidR="00167ACC" w:rsidRDefault="0022797C" w:rsidP="009735EC">
            <w:pPr>
              <w:pStyle w:val="ListParagraph"/>
              <w:numPr>
                <w:ilvl w:val="0"/>
                <w:numId w:val="39"/>
              </w:numPr>
              <w:suppressAutoHyphens/>
              <w:autoSpaceDN w:val="0"/>
              <w:spacing w:line="247" w:lineRule="auto"/>
              <w:ind w:left="171" w:right="141" w:hanging="171"/>
              <w:rPr>
                <w:szCs w:val="24"/>
                <w:lang w:val="en-US"/>
              </w:rPr>
            </w:pPr>
            <w:r>
              <w:rPr>
                <w:szCs w:val="24"/>
                <w:lang w:val="en-US"/>
              </w:rPr>
              <w:t>Contact providers early in next stage of IDP</w:t>
            </w:r>
            <w:r w:rsidR="0091226A">
              <w:rPr>
                <w:szCs w:val="24"/>
                <w:lang w:val="en-US"/>
              </w:rPr>
              <w:t>.</w:t>
            </w:r>
          </w:p>
          <w:p w14:paraId="57B8720B" w14:textId="45680D00" w:rsidR="00167ACC" w:rsidRDefault="0091226A" w:rsidP="009735EC">
            <w:pPr>
              <w:pStyle w:val="ListParagraph"/>
              <w:numPr>
                <w:ilvl w:val="0"/>
                <w:numId w:val="39"/>
              </w:numPr>
              <w:suppressAutoHyphens/>
              <w:autoSpaceDN w:val="0"/>
              <w:spacing w:line="247" w:lineRule="auto"/>
              <w:ind w:left="171" w:right="141" w:hanging="171"/>
              <w:rPr>
                <w:szCs w:val="24"/>
                <w:lang w:val="en-US"/>
              </w:rPr>
            </w:pPr>
            <w:r>
              <w:rPr>
                <w:szCs w:val="24"/>
                <w:lang w:val="en-US"/>
              </w:rPr>
              <w:t>Emphasi</w:t>
            </w:r>
            <w:r w:rsidR="002F59F6">
              <w:rPr>
                <w:szCs w:val="24"/>
                <w:lang w:val="en-US"/>
              </w:rPr>
              <w:t>z</w:t>
            </w:r>
            <w:r>
              <w:rPr>
                <w:szCs w:val="24"/>
                <w:lang w:val="en-US"/>
              </w:rPr>
              <w:t>e importance of project and need for collaboration on delivery.</w:t>
            </w:r>
          </w:p>
          <w:p w14:paraId="59FBEEC7" w14:textId="77777777" w:rsidR="00167ACC" w:rsidRDefault="00167ACC" w:rsidP="009735EC">
            <w:pPr>
              <w:pStyle w:val="ListParagraph"/>
              <w:numPr>
                <w:ilvl w:val="0"/>
                <w:numId w:val="39"/>
              </w:numPr>
              <w:suppressAutoHyphens/>
              <w:autoSpaceDN w:val="0"/>
              <w:spacing w:line="247" w:lineRule="auto"/>
              <w:ind w:left="171" w:right="141" w:hanging="171"/>
              <w:rPr>
                <w:szCs w:val="24"/>
                <w:lang w:val="en-US"/>
              </w:rPr>
            </w:pPr>
          </w:p>
        </w:tc>
        <w:tc>
          <w:tcPr>
            <w:tcW w:w="2070" w:type="dxa"/>
            <w:tcBorders>
              <w:top w:val="single" w:sz="4" w:space="0" w:color="000000"/>
              <w:left w:val="single" w:sz="4" w:space="0" w:color="000000"/>
              <w:bottom w:val="single" w:sz="4" w:space="0" w:color="000000"/>
              <w:right w:val="single" w:sz="4" w:space="0" w:color="000000"/>
            </w:tcBorders>
            <w:shd w:val="clear" w:color="auto" w:fill="00B050"/>
            <w:vAlign w:val="center"/>
            <w:hideMark/>
          </w:tcPr>
          <w:p w14:paraId="03D6AA2B" w14:textId="77777777" w:rsidR="00167ACC" w:rsidRPr="006633B8" w:rsidRDefault="00167ACC" w:rsidP="006633B8">
            <w:pPr>
              <w:spacing w:line="247" w:lineRule="auto"/>
              <w:ind w:left="171" w:right="141"/>
              <w:jc w:val="center"/>
              <w:rPr>
                <w:rFonts w:cs="Arial"/>
                <w:b/>
                <w:bCs/>
                <w:szCs w:val="24"/>
                <w:lang w:val="en-US" w:eastAsia="en-GB"/>
              </w:rPr>
            </w:pPr>
            <w:r w:rsidRPr="006633B8">
              <w:rPr>
                <w:rFonts w:cs="Arial"/>
                <w:b/>
                <w:bCs/>
                <w:szCs w:val="24"/>
                <w:lang w:val="en-US" w:eastAsia="en-GB"/>
              </w:rPr>
              <w:t>Green</w:t>
            </w:r>
          </w:p>
        </w:tc>
      </w:tr>
      <w:tr w:rsidR="00167ACC" w14:paraId="50394804" w14:textId="77777777" w:rsidTr="008807A7">
        <w:tc>
          <w:tcPr>
            <w:tcW w:w="3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DD7F3" w14:textId="01AD713E" w:rsidR="00167ACC" w:rsidRDefault="001D04B9" w:rsidP="009735EC">
            <w:pPr>
              <w:spacing w:line="247" w:lineRule="auto"/>
              <w:ind w:right="141"/>
              <w:rPr>
                <w:rFonts w:cs="Arial"/>
                <w:szCs w:val="24"/>
                <w:lang w:val="en-US" w:eastAsia="en-GB"/>
              </w:rPr>
            </w:pPr>
            <w:r>
              <w:rPr>
                <w:rFonts w:cs="Arial"/>
                <w:szCs w:val="24"/>
                <w:lang w:val="en-US" w:eastAsia="en-GB"/>
              </w:rPr>
              <w:t>Data not up to date</w:t>
            </w:r>
          </w:p>
        </w:tc>
        <w:tc>
          <w:tcPr>
            <w:tcW w:w="32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24856" w14:textId="4F665EC1" w:rsidR="00167ACC" w:rsidRDefault="001D04B9" w:rsidP="009735EC">
            <w:pPr>
              <w:pStyle w:val="ListParagraph"/>
              <w:numPr>
                <w:ilvl w:val="0"/>
                <w:numId w:val="39"/>
              </w:numPr>
              <w:suppressAutoHyphens/>
              <w:autoSpaceDN w:val="0"/>
              <w:spacing w:line="247" w:lineRule="auto"/>
              <w:ind w:left="171" w:right="141" w:hanging="171"/>
              <w:rPr>
                <w:szCs w:val="24"/>
                <w:lang w:val="en-US"/>
              </w:rPr>
            </w:pPr>
            <w:r>
              <w:rPr>
                <w:szCs w:val="24"/>
                <w:lang w:val="en-US"/>
              </w:rPr>
              <w:t xml:space="preserve">Use most up to date data available. </w:t>
            </w:r>
          </w:p>
          <w:p w14:paraId="03CDFAE4" w14:textId="2D996E00" w:rsidR="00167ACC" w:rsidRDefault="00EB1FF0" w:rsidP="009735EC">
            <w:pPr>
              <w:pStyle w:val="ListParagraph"/>
              <w:numPr>
                <w:ilvl w:val="0"/>
                <w:numId w:val="39"/>
              </w:numPr>
              <w:suppressAutoHyphens/>
              <w:autoSpaceDN w:val="0"/>
              <w:spacing w:line="247" w:lineRule="auto"/>
              <w:ind w:left="171" w:right="141" w:hanging="171"/>
              <w:rPr>
                <w:szCs w:val="24"/>
                <w:lang w:val="en-US"/>
              </w:rPr>
            </w:pPr>
            <w:r>
              <w:rPr>
                <w:szCs w:val="24"/>
                <w:lang w:val="en-US"/>
              </w:rPr>
              <w:t xml:space="preserve">Undertake extensive consultation to ascertain </w:t>
            </w:r>
            <w:r w:rsidR="00620758">
              <w:rPr>
                <w:szCs w:val="24"/>
                <w:lang w:val="en-US"/>
              </w:rPr>
              <w:t xml:space="preserve">if new data has been released or is in the pipeline. </w:t>
            </w:r>
          </w:p>
          <w:p w14:paraId="101EA2AC" w14:textId="118DCA06" w:rsidR="00167ACC" w:rsidRDefault="00620758" w:rsidP="009735EC">
            <w:pPr>
              <w:pStyle w:val="ListParagraph"/>
              <w:numPr>
                <w:ilvl w:val="0"/>
                <w:numId w:val="39"/>
              </w:numPr>
              <w:suppressAutoHyphens/>
              <w:autoSpaceDN w:val="0"/>
              <w:spacing w:line="247" w:lineRule="auto"/>
              <w:ind w:left="171" w:right="141" w:hanging="171"/>
              <w:rPr>
                <w:szCs w:val="24"/>
                <w:lang w:val="en-US"/>
              </w:rPr>
            </w:pPr>
            <w:r>
              <w:rPr>
                <w:szCs w:val="24"/>
                <w:lang w:val="en-US"/>
              </w:rPr>
              <w:t>Check back with consultees to ensure that the data captures the</w:t>
            </w:r>
            <w:r w:rsidR="004620AD">
              <w:rPr>
                <w:szCs w:val="24"/>
                <w:lang w:val="en-US"/>
              </w:rPr>
              <w:t xml:space="preserve">ir understanding of the situation. </w:t>
            </w:r>
          </w:p>
        </w:tc>
        <w:tc>
          <w:tcPr>
            <w:tcW w:w="2070"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253498D" w14:textId="538742F4" w:rsidR="00167ACC" w:rsidRPr="006633B8" w:rsidRDefault="004620AD" w:rsidP="006633B8">
            <w:pPr>
              <w:spacing w:line="247" w:lineRule="auto"/>
              <w:ind w:right="141"/>
              <w:jc w:val="center"/>
              <w:rPr>
                <w:rFonts w:cs="Arial"/>
                <w:b/>
                <w:bCs/>
                <w:szCs w:val="24"/>
                <w:lang w:val="en-US" w:eastAsia="en-GB"/>
              </w:rPr>
            </w:pPr>
            <w:r w:rsidRPr="006633B8">
              <w:rPr>
                <w:rFonts w:cs="Arial"/>
                <w:b/>
                <w:bCs/>
                <w:szCs w:val="24"/>
                <w:lang w:val="en-US" w:eastAsia="en-GB"/>
              </w:rPr>
              <w:t>Green</w:t>
            </w:r>
          </w:p>
        </w:tc>
      </w:tr>
    </w:tbl>
    <w:p w14:paraId="1FFF7463" w14:textId="366C4996" w:rsidR="008D0B76" w:rsidRDefault="008D0B76" w:rsidP="003F55C8">
      <w:pPr>
        <w:pStyle w:val="Heading3"/>
        <w:keepNext/>
        <w:numPr>
          <w:ilvl w:val="0"/>
          <w:numId w:val="47"/>
        </w:numPr>
        <w:spacing w:before="240"/>
        <w:ind w:left="851" w:hanging="851"/>
      </w:pPr>
      <w:r>
        <w:lastRenderedPageBreak/>
        <w:t>Legal Implications</w:t>
      </w:r>
    </w:p>
    <w:p w14:paraId="2620D049" w14:textId="77777777" w:rsidR="008D0B76" w:rsidRDefault="008D0B76" w:rsidP="003F55C8">
      <w:pPr>
        <w:keepNext/>
        <w:ind w:left="851" w:hanging="851"/>
      </w:pPr>
    </w:p>
    <w:p w14:paraId="53E33D96" w14:textId="5A383E9C" w:rsidR="008D0B76" w:rsidRPr="00ED1191" w:rsidRDefault="009F27E7" w:rsidP="008807A7">
      <w:pPr>
        <w:ind w:left="851" w:hanging="851"/>
        <w:rPr>
          <w:color w:val="0000FF"/>
        </w:rPr>
      </w:pPr>
      <w:r>
        <w:t>6.1</w:t>
      </w:r>
      <w:r>
        <w:tab/>
      </w:r>
      <w:r w:rsidR="001655B4">
        <w:t xml:space="preserve">The new Harrow Local Plan is required to have an Infrastructure Delivery Plan as part of its evidence base </w:t>
      </w:r>
      <w:proofErr w:type="gramStart"/>
      <w:r w:rsidR="001655B4">
        <w:t>in order to</w:t>
      </w:r>
      <w:proofErr w:type="gramEnd"/>
      <w:r w:rsidR="001655B4">
        <w:t xml:space="preserve"> be found sound</w:t>
      </w:r>
      <w:r w:rsidR="005C7D3C">
        <w:t xml:space="preserve"> at examination</w:t>
      </w:r>
      <w:r w:rsidR="001655B4">
        <w:t xml:space="preserve">. </w:t>
      </w:r>
      <w:r w:rsidR="00200952">
        <w:t xml:space="preserve">This IDP has been prepared </w:t>
      </w:r>
      <w:r w:rsidR="00EA2237" w:rsidRPr="00EA2237">
        <w:t>in accordance with the National Planning Policy Framework (NPPF) and National Planning Practice Guidance (NPPG) alongside relevant best practice guidance, relevant cross-borough working, London and local policy.</w:t>
      </w:r>
    </w:p>
    <w:p w14:paraId="4FBE7EC1" w14:textId="77777777" w:rsidR="008D0B76" w:rsidRDefault="008D0B76" w:rsidP="008807A7">
      <w:pPr>
        <w:ind w:left="851" w:hanging="851"/>
        <w:rPr>
          <w:color w:val="0000FF"/>
        </w:rPr>
      </w:pPr>
    </w:p>
    <w:p w14:paraId="79A96F1E" w14:textId="73F413D6" w:rsidR="005441BD" w:rsidRDefault="005441BD" w:rsidP="003F55C8">
      <w:pPr>
        <w:pStyle w:val="Heading3"/>
        <w:keepNext/>
        <w:numPr>
          <w:ilvl w:val="0"/>
          <w:numId w:val="47"/>
        </w:numPr>
        <w:spacing w:before="240"/>
        <w:ind w:left="851" w:hanging="851"/>
      </w:pPr>
      <w:r>
        <w:t>Financial Implications</w:t>
      </w:r>
    </w:p>
    <w:p w14:paraId="7418BCF8" w14:textId="77777777" w:rsidR="008D0B76" w:rsidRDefault="008D0B76" w:rsidP="003F55C8">
      <w:pPr>
        <w:keepNext/>
        <w:ind w:left="851" w:hanging="851"/>
      </w:pPr>
    </w:p>
    <w:p w14:paraId="404CBA5C" w14:textId="70478EF2" w:rsidR="00A96968" w:rsidRPr="00A96968" w:rsidRDefault="009F27E7" w:rsidP="008807A7">
      <w:pPr>
        <w:ind w:left="851" w:hanging="851"/>
      </w:pPr>
      <w:r>
        <w:t>7.1</w:t>
      </w:r>
      <w:r>
        <w:tab/>
      </w:r>
      <w:r w:rsidR="00A96968" w:rsidRPr="00A96968">
        <w:t xml:space="preserve">The cost of updating the </w:t>
      </w:r>
      <w:r w:rsidR="001244C3">
        <w:t>IDP</w:t>
      </w:r>
      <w:r w:rsidR="00A96968" w:rsidRPr="00A96968">
        <w:t xml:space="preserve"> has been met from the Planning Policy budget. Additional work required to finalise the document will also be met from this budget. </w:t>
      </w:r>
    </w:p>
    <w:p w14:paraId="1AC325FC" w14:textId="77777777" w:rsidR="00A274AC" w:rsidRDefault="00A274AC" w:rsidP="008807A7">
      <w:pPr>
        <w:ind w:left="851" w:hanging="851"/>
      </w:pPr>
    </w:p>
    <w:p w14:paraId="2B175A09" w14:textId="6B46B50D" w:rsidR="000D5D8B" w:rsidRPr="009F27E7" w:rsidRDefault="000D5D8B" w:rsidP="003F55C8">
      <w:pPr>
        <w:pStyle w:val="Heading3"/>
        <w:keepNext/>
        <w:numPr>
          <w:ilvl w:val="0"/>
          <w:numId w:val="47"/>
        </w:numPr>
        <w:spacing w:before="240"/>
        <w:ind w:left="851" w:hanging="851"/>
      </w:pPr>
      <w:r w:rsidRPr="009F27E7">
        <w:t>Equalities implications / Public Sector Equality Duty</w:t>
      </w:r>
    </w:p>
    <w:p w14:paraId="5F4BC2B6" w14:textId="77777777" w:rsidR="003F55C8" w:rsidRDefault="003F55C8" w:rsidP="003F55C8">
      <w:pPr>
        <w:pStyle w:val="Heading4"/>
        <w:ind w:left="851" w:hanging="851"/>
        <w:rPr>
          <w:rFonts w:cs="Times New Roman"/>
          <w:b w:val="0"/>
          <w:sz w:val="24"/>
        </w:rPr>
      </w:pPr>
    </w:p>
    <w:p w14:paraId="00863903" w14:textId="2EC49A4A" w:rsidR="00EC6FE9" w:rsidRPr="000423B1" w:rsidRDefault="009F27E7" w:rsidP="003F55C8">
      <w:pPr>
        <w:pStyle w:val="Heading4"/>
        <w:keepNext w:val="0"/>
        <w:ind w:left="851" w:hanging="851"/>
        <w:rPr>
          <w:rFonts w:cs="Times New Roman"/>
          <w:b w:val="0"/>
          <w:sz w:val="24"/>
        </w:rPr>
      </w:pPr>
      <w:r>
        <w:rPr>
          <w:rFonts w:cs="Times New Roman"/>
          <w:b w:val="0"/>
          <w:sz w:val="24"/>
        </w:rPr>
        <w:t>8.1</w:t>
      </w:r>
      <w:r>
        <w:rPr>
          <w:rFonts w:cs="Times New Roman"/>
          <w:b w:val="0"/>
          <w:sz w:val="24"/>
        </w:rPr>
        <w:tab/>
      </w:r>
      <w:r w:rsidR="00D53CB5" w:rsidRPr="009F27E7">
        <w:rPr>
          <w:rFonts w:cs="Times New Roman"/>
          <w:b w:val="0"/>
          <w:sz w:val="24"/>
        </w:rPr>
        <w:t xml:space="preserve">No Equalities </w:t>
      </w:r>
      <w:r w:rsidR="000423B1" w:rsidRPr="009F27E7">
        <w:rPr>
          <w:rFonts w:cs="Times New Roman"/>
          <w:b w:val="0"/>
          <w:sz w:val="24"/>
        </w:rPr>
        <w:t>implications</w:t>
      </w:r>
      <w:r w:rsidR="00D53CB5" w:rsidRPr="009F27E7">
        <w:rPr>
          <w:rFonts w:cs="Times New Roman"/>
          <w:b w:val="0"/>
          <w:sz w:val="24"/>
        </w:rPr>
        <w:t xml:space="preserve"> are foreseen </w:t>
      </w:r>
      <w:r w:rsidR="000423B1" w:rsidRPr="009F27E7">
        <w:rPr>
          <w:rFonts w:cs="Times New Roman"/>
          <w:b w:val="0"/>
          <w:sz w:val="24"/>
        </w:rPr>
        <w:t>at this stage of the IDP as this</w:t>
      </w:r>
      <w:r w:rsidR="009A058A" w:rsidRPr="009F27E7">
        <w:rPr>
          <w:rFonts w:cs="Times New Roman"/>
          <w:b w:val="0"/>
          <w:sz w:val="24"/>
        </w:rPr>
        <w:t xml:space="preserve"> </w:t>
      </w:r>
      <w:r w:rsidR="006C3831">
        <w:rPr>
          <w:rFonts w:cs="Times New Roman"/>
          <w:b w:val="0"/>
          <w:sz w:val="24"/>
        </w:rPr>
        <w:t xml:space="preserve">context </w:t>
      </w:r>
      <w:r w:rsidR="009A058A" w:rsidRPr="009F27E7">
        <w:rPr>
          <w:rFonts w:cs="Times New Roman"/>
          <w:b w:val="0"/>
          <w:sz w:val="24"/>
        </w:rPr>
        <w:t xml:space="preserve">report is contextual </w:t>
      </w:r>
      <w:r w:rsidR="009A058A">
        <w:rPr>
          <w:rFonts w:cs="Times New Roman"/>
          <w:b w:val="0"/>
          <w:sz w:val="24"/>
        </w:rPr>
        <w:t xml:space="preserve">and for information only. </w:t>
      </w:r>
      <w:r w:rsidR="00A83CE2">
        <w:rPr>
          <w:rFonts w:cs="Times New Roman"/>
          <w:b w:val="0"/>
          <w:sz w:val="24"/>
        </w:rPr>
        <w:t xml:space="preserve">The </w:t>
      </w:r>
      <w:r w:rsidR="000E1739">
        <w:rPr>
          <w:rFonts w:cs="Times New Roman"/>
          <w:b w:val="0"/>
          <w:sz w:val="24"/>
        </w:rPr>
        <w:t>draft Local Plan, including policies and site allocations relating to infrastructure, will be subject to a full Equalities Impact Assessment.</w:t>
      </w:r>
    </w:p>
    <w:p w14:paraId="4CF49D7E" w14:textId="4EB31FEA" w:rsidR="00EC6FE9" w:rsidRPr="00EC6FE9" w:rsidRDefault="009F27E7" w:rsidP="003F55C8">
      <w:pPr>
        <w:pStyle w:val="Heading4"/>
        <w:spacing w:before="240"/>
        <w:ind w:left="851" w:hanging="851"/>
      </w:pPr>
      <w:r>
        <w:t xml:space="preserve">9. </w:t>
      </w:r>
      <w:r w:rsidR="00EC6FE9" w:rsidRPr="00EC6FE9">
        <w:t>Council Priorities</w:t>
      </w:r>
    </w:p>
    <w:p w14:paraId="5F4ACF2D" w14:textId="77777777" w:rsidR="00EC6FE9" w:rsidRDefault="00EC6FE9" w:rsidP="003F55C8">
      <w:pPr>
        <w:ind w:left="851" w:hanging="851"/>
        <w:rPr>
          <w:rFonts w:cs="Arial"/>
          <w:szCs w:val="24"/>
          <w:lang w:val="en-US"/>
        </w:rPr>
      </w:pPr>
    </w:p>
    <w:p w14:paraId="0139FC1B" w14:textId="6E951E84" w:rsidR="003B75A5" w:rsidRDefault="009F27E7" w:rsidP="008807A7">
      <w:pPr>
        <w:ind w:left="851" w:hanging="851"/>
        <w:rPr>
          <w:rFonts w:cs="Arial"/>
          <w:szCs w:val="24"/>
          <w:lang w:val="en-US"/>
        </w:rPr>
      </w:pPr>
      <w:r>
        <w:rPr>
          <w:rFonts w:cs="Arial"/>
          <w:szCs w:val="24"/>
          <w:lang w:val="en-US"/>
        </w:rPr>
        <w:t xml:space="preserve">9.1 </w:t>
      </w:r>
      <w:r>
        <w:rPr>
          <w:rFonts w:cs="Arial"/>
          <w:szCs w:val="24"/>
          <w:lang w:val="en-US"/>
        </w:rPr>
        <w:tab/>
      </w:r>
      <w:r w:rsidR="003B3DF8">
        <w:rPr>
          <w:rFonts w:cs="Arial"/>
          <w:szCs w:val="24"/>
          <w:lang w:val="en-US"/>
        </w:rPr>
        <w:t>Progressing the IDP will help meet the following Council priorities:</w:t>
      </w:r>
    </w:p>
    <w:p w14:paraId="599C27BA" w14:textId="77777777" w:rsidR="00EC6FE9" w:rsidRPr="00CD57D8" w:rsidRDefault="00EC6FE9" w:rsidP="00EC6FE9">
      <w:pPr>
        <w:rPr>
          <w:rFonts w:cs="Arial"/>
          <w:szCs w:val="24"/>
          <w:lang w:val="en-US"/>
        </w:rPr>
      </w:pPr>
    </w:p>
    <w:p w14:paraId="56ACE741" w14:textId="5AD14157" w:rsidR="00EC6FE9" w:rsidRDefault="00EC6FE9" w:rsidP="008807A7">
      <w:pPr>
        <w:pStyle w:val="StyleListParagraphBold"/>
        <w:numPr>
          <w:ilvl w:val="0"/>
          <w:numId w:val="40"/>
        </w:numPr>
        <w:ind w:left="1418" w:hanging="578"/>
        <w:rPr>
          <w:lang w:eastAsia="en-US"/>
        </w:rPr>
      </w:pPr>
      <w:r w:rsidRPr="00752110">
        <w:t>A council that puts residents first</w:t>
      </w:r>
      <w:r w:rsidR="005C7D3C">
        <w:br/>
      </w:r>
      <w:r w:rsidR="005C7D3C">
        <w:rPr>
          <w:b w:val="0"/>
          <w:bCs w:val="0"/>
        </w:rPr>
        <w:t xml:space="preserve">This IDP </w:t>
      </w:r>
      <w:r w:rsidR="006F6B24">
        <w:rPr>
          <w:b w:val="0"/>
          <w:bCs w:val="0"/>
        </w:rPr>
        <w:t xml:space="preserve">context </w:t>
      </w:r>
      <w:r w:rsidR="0095672D">
        <w:rPr>
          <w:b w:val="0"/>
          <w:bCs w:val="0"/>
        </w:rPr>
        <w:t xml:space="preserve">report identifies existing deficiencies and planned future provision of </w:t>
      </w:r>
      <w:r w:rsidR="007304E7">
        <w:rPr>
          <w:b w:val="0"/>
          <w:bCs w:val="0"/>
        </w:rPr>
        <w:t xml:space="preserve">infrastructure required to meet the needs of current and future Harrow residents. </w:t>
      </w:r>
      <w:r w:rsidR="00B066C7">
        <w:rPr>
          <w:b w:val="0"/>
          <w:bCs w:val="0"/>
        </w:rPr>
        <w:t xml:space="preserve">Creating a plan for infrastructure provision </w:t>
      </w:r>
      <w:r w:rsidR="006336C6">
        <w:rPr>
          <w:b w:val="0"/>
          <w:bCs w:val="0"/>
        </w:rPr>
        <w:t xml:space="preserve">ensures that residents are well serviced by all forms of infrastructure. </w:t>
      </w:r>
    </w:p>
    <w:p w14:paraId="42309CE7" w14:textId="77777777" w:rsidR="00EC6FE9" w:rsidRPr="00752110" w:rsidRDefault="00EC6FE9" w:rsidP="008807A7">
      <w:pPr>
        <w:pStyle w:val="StyleListParagraphBold"/>
        <w:ind w:left="1418" w:hanging="578"/>
        <w:rPr>
          <w:lang w:eastAsia="en-US"/>
        </w:rPr>
      </w:pPr>
    </w:p>
    <w:p w14:paraId="5E002029" w14:textId="70996805" w:rsidR="00EC6FE9" w:rsidRDefault="00EC6FE9" w:rsidP="008807A7">
      <w:pPr>
        <w:pStyle w:val="StyleListParagraphBold"/>
        <w:numPr>
          <w:ilvl w:val="0"/>
          <w:numId w:val="40"/>
        </w:numPr>
        <w:ind w:left="1418" w:hanging="578"/>
      </w:pPr>
      <w:r w:rsidRPr="00752110">
        <w:t>A borough that is clean and safe</w:t>
      </w:r>
      <w:r w:rsidR="006336C6">
        <w:br/>
      </w:r>
      <w:r w:rsidR="006336C6">
        <w:rPr>
          <w:b w:val="0"/>
          <w:bCs w:val="0"/>
        </w:rPr>
        <w:t xml:space="preserve">The cleanliness of the borough will be addressed through waste management infrastructure provision. Safety will be ensured through provision of </w:t>
      </w:r>
      <w:r w:rsidR="00251542">
        <w:rPr>
          <w:b w:val="0"/>
          <w:bCs w:val="0"/>
        </w:rPr>
        <w:t xml:space="preserve">emergency services infrastructure </w:t>
      </w:r>
    </w:p>
    <w:p w14:paraId="45DEA15B" w14:textId="77777777" w:rsidR="00EC6FE9" w:rsidRPr="00752110" w:rsidRDefault="00EC6FE9" w:rsidP="00EC6FE9">
      <w:pPr>
        <w:pStyle w:val="StyleListParagraphBold"/>
        <w:ind w:left="0"/>
      </w:pPr>
    </w:p>
    <w:p w14:paraId="6F1FDA3D" w14:textId="77777777" w:rsidR="005441BD" w:rsidRDefault="005441BD" w:rsidP="003F55C8">
      <w:pPr>
        <w:pStyle w:val="Heading2"/>
        <w:keepNext/>
        <w:spacing w:before="480"/>
      </w:pPr>
      <w:r>
        <w:lastRenderedPageBreak/>
        <w:t>Section 3 - Statutory Officer Clearance</w:t>
      </w:r>
    </w:p>
    <w:p w14:paraId="58D37697" w14:textId="714A09A7" w:rsidR="00C51C18" w:rsidRDefault="00C51C18" w:rsidP="003F55C8">
      <w:pPr>
        <w:keepNext/>
        <w:rPr>
          <w:b/>
          <w:sz w:val="28"/>
        </w:rPr>
      </w:pPr>
    </w:p>
    <w:p w14:paraId="3537C530" w14:textId="77777777" w:rsidR="005C4E07" w:rsidRDefault="005C4E07" w:rsidP="003F55C8">
      <w:pPr>
        <w:keepNext/>
        <w:rPr>
          <w:b/>
          <w:sz w:val="28"/>
          <w:szCs w:val="28"/>
        </w:rPr>
      </w:pPr>
      <w:r>
        <w:rPr>
          <w:b/>
          <w:sz w:val="28"/>
          <w:szCs w:val="28"/>
        </w:rPr>
        <w:t>Chief Officer: Viv Evans</w:t>
      </w:r>
    </w:p>
    <w:p w14:paraId="1457B8CF" w14:textId="77777777" w:rsidR="00094A24" w:rsidRDefault="005C4E07" w:rsidP="003F55C8">
      <w:pPr>
        <w:keepNext/>
        <w:rPr>
          <w:bCs/>
          <w:szCs w:val="24"/>
        </w:rPr>
      </w:pPr>
      <w:r>
        <w:rPr>
          <w:bCs/>
          <w:szCs w:val="24"/>
        </w:rPr>
        <w:t>Signed by Chief Planning Officer</w:t>
      </w:r>
    </w:p>
    <w:p w14:paraId="2D8F3B63" w14:textId="77777777" w:rsidR="00094A24" w:rsidRDefault="00094A24" w:rsidP="003F55C8">
      <w:pPr>
        <w:keepNext/>
        <w:rPr>
          <w:bCs/>
          <w:szCs w:val="24"/>
        </w:rPr>
      </w:pPr>
    </w:p>
    <w:p w14:paraId="3794874C" w14:textId="0283F001" w:rsidR="005C4E07" w:rsidRDefault="005C4E07" w:rsidP="003F55C8">
      <w:pPr>
        <w:keepNext/>
        <w:rPr>
          <w:bCs/>
          <w:szCs w:val="24"/>
        </w:rPr>
      </w:pPr>
      <w:r>
        <w:rPr>
          <w:bCs/>
          <w:szCs w:val="24"/>
        </w:rPr>
        <w:t xml:space="preserve"> </w:t>
      </w:r>
      <w:r w:rsidR="00094A24" w:rsidRPr="00094A24">
        <w:rPr>
          <w:rFonts w:ascii="Calibri" w:eastAsia="Calibri" w:hAnsi="Calibri"/>
          <w:noProof/>
          <w:sz w:val="22"/>
          <w:szCs w:val="22"/>
        </w:rPr>
        <w:drawing>
          <wp:inline distT="0" distB="0" distL="0" distR="0" wp14:anchorId="1A9B11DC" wp14:editId="4A08E0F1">
            <wp:extent cx="1786255" cy="676910"/>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6255" cy="676910"/>
                    </a:xfrm>
                    <a:prstGeom prst="rect">
                      <a:avLst/>
                    </a:prstGeom>
                    <a:noFill/>
                  </pic:spPr>
                </pic:pic>
              </a:graphicData>
            </a:graphic>
          </wp:inline>
        </w:drawing>
      </w:r>
    </w:p>
    <w:p w14:paraId="581745AD" w14:textId="77777777" w:rsidR="005C4E07" w:rsidRDefault="005C4E07" w:rsidP="003F55C8">
      <w:pPr>
        <w:keepNext/>
        <w:rPr>
          <w:b/>
          <w:szCs w:val="24"/>
        </w:rPr>
      </w:pPr>
    </w:p>
    <w:p w14:paraId="0FD8DA3D" w14:textId="4B5A9256" w:rsidR="005C4E07" w:rsidRDefault="005C4E07" w:rsidP="005C4E07">
      <w:pPr>
        <w:spacing w:after="480"/>
        <w:rPr>
          <w:b/>
          <w:szCs w:val="24"/>
        </w:rPr>
      </w:pPr>
      <w:r>
        <w:rPr>
          <w:b/>
          <w:szCs w:val="24"/>
        </w:rPr>
        <w:t xml:space="preserve">Date: </w:t>
      </w:r>
      <w:r w:rsidR="00094A24">
        <w:rPr>
          <w:b/>
          <w:szCs w:val="24"/>
        </w:rPr>
        <w:t>5</w:t>
      </w:r>
      <w:r w:rsidR="00094A24" w:rsidRPr="00877307">
        <w:rPr>
          <w:b/>
          <w:szCs w:val="24"/>
          <w:vertAlign w:val="superscript"/>
        </w:rPr>
        <w:t>th</w:t>
      </w:r>
      <w:r>
        <w:rPr>
          <w:b/>
          <w:szCs w:val="24"/>
        </w:rPr>
        <w:t xml:space="preserve"> September 2023</w:t>
      </w:r>
    </w:p>
    <w:p w14:paraId="0D390837" w14:textId="6CACD76A" w:rsidR="005C4E07" w:rsidRDefault="005C4E07" w:rsidP="005C4E07">
      <w:pPr>
        <w:keepNext/>
        <w:rPr>
          <w:b/>
          <w:sz w:val="28"/>
          <w:szCs w:val="28"/>
        </w:rPr>
      </w:pPr>
      <w:r>
        <w:rPr>
          <w:b/>
          <w:sz w:val="28"/>
          <w:szCs w:val="28"/>
        </w:rPr>
        <w:t>Director: Emma Talbot</w:t>
      </w:r>
    </w:p>
    <w:p w14:paraId="5FFCE658" w14:textId="68653E5D" w:rsidR="005C4E07" w:rsidRDefault="005C4E07" w:rsidP="005C4E07">
      <w:pPr>
        <w:keepNext/>
        <w:rPr>
          <w:bCs/>
          <w:szCs w:val="24"/>
        </w:rPr>
      </w:pPr>
      <w:r>
        <w:rPr>
          <w:bCs/>
          <w:szCs w:val="24"/>
        </w:rPr>
        <w:t xml:space="preserve">Signed by Director </w:t>
      </w:r>
      <w:r w:rsidR="00094A24">
        <w:rPr>
          <w:bCs/>
          <w:szCs w:val="24"/>
        </w:rPr>
        <w:t>of</w:t>
      </w:r>
      <w:r>
        <w:rPr>
          <w:bCs/>
          <w:szCs w:val="24"/>
        </w:rPr>
        <w:t xml:space="preserve"> Regeneration and Sustainable Development </w:t>
      </w:r>
    </w:p>
    <w:p w14:paraId="041D98F0" w14:textId="77777777" w:rsidR="005C4E07" w:rsidRDefault="005C4E07" w:rsidP="005C4E07">
      <w:pPr>
        <w:keepNext/>
        <w:rPr>
          <w:b/>
          <w:szCs w:val="24"/>
        </w:rPr>
      </w:pPr>
    </w:p>
    <w:p w14:paraId="7E80CFED" w14:textId="4C2471C7" w:rsidR="005C4E07" w:rsidRDefault="005C4E07" w:rsidP="005C4E07">
      <w:pPr>
        <w:spacing w:after="480"/>
        <w:rPr>
          <w:b/>
          <w:szCs w:val="24"/>
        </w:rPr>
      </w:pPr>
      <w:r>
        <w:rPr>
          <w:b/>
          <w:szCs w:val="24"/>
        </w:rPr>
        <w:t xml:space="preserve">Date:  </w:t>
      </w:r>
      <w:r w:rsidR="00A3704F">
        <w:rPr>
          <w:b/>
          <w:szCs w:val="24"/>
        </w:rPr>
        <w:t>5th</w:t>
      </w:r>
      <w:r>
        <w:rPr>
          <w:b/>
          <w:szCs w:val="24"/>
        </w:rPr>
        <w:t xml:space="preserve"> September 2023</w:t>
      </w:r>
    </w:p>
    <w:p w14:paraId="45D50C0C" w14:textId="4CCB326F" w:rsidR="00BF108C" w:rsidRDefault="00BF108C" w:rsidP="005C4E07">
      <w:pPr>
        <w:spacing w:after="480"/>
        <w:rPr>
          <w:b/>
          <w:szCs w:val="24"/>
        </w:rPr>
      </w:pPr>
      <w:r>
        <w:rPr>
          <w:b/>
          <w:noProof/>
          <w:szCs w:val="24"/>
        </w:rPr>
        <w:drawing>
          <wp:inline distT="0" distB="0" distL="0" distR="0" wp14:anchorId="2A5A9F1F" wp14:editId="7AE5DF2E">
            <wp:extent cx="2129814" cy="1007654"/>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2142363" cy="1013591"/>
                    </a:xfrm>
                    <a:prstGeom prst="rect">
                      <a:avLst/>
                    </a:prstGeom>
                  </pic:spPr>
                </pic:pic>
              </a:graphicData>
            </a:graphic>
          </wp:inline>
        </w:drawing>
      </w:r>
    </w:p>
    <w:p w14:paraId="2EB5C5C3" w14:textId="77777777" w:rsidR="005C4E07" w:rsidRPr="003F55C8" w:rsidRDefault="005C4E07" w:rsidP="005C4E07">
      <w:pPr>
        <w:rPr>
          <w:b/>
          <w:sz w:val="28"/>
          <w:szCs w:val="28"/>
        </w:rPr>
      </w:pPr>
      <w:r w:rsidRPr="003F55C8">
        <w:rPr>
          <w:b/>
          <w:sz w:val="28"/>
          <w:szCs w:val="28"/>
        </w:rPr>
        <w:t>Corporate Director: Dipti Patel</w:t>
      </w:r>
    </w:p>
    <w:p w14:paraId="0E709DB0" w14:textId="77777777" w:rsidR="005C4E07" w:rsidRPr="003F55C8" w:rsidRDefault="005C4E07" w:rsidP="005C4E07">
      <w:pPr>
        <w:rPr>
          <w:bCs/>
          <w:szCs w:val="24"/>
        </w:rPr>
      </w:pPr>
      <w:r w:rsidRPr="003F55C8">
        <w:rPr>
          <w:bCs/>
          <w:szCs w:val="24"/>
        </w:rPr>
        <w:t xml:space="preserve">Signed by Corporate Director </w:t>
      </w:r>
    </w:p>
    <w:p w14:paraId="115E263B" w14:textId="77777777" w:rsidR="005C4E07" w:rsidRPr="003F55C8" w:rsidRDefault="005C4E07" w:rsidP="005C4E07">
      <w:pPr>
        <w:rPr>
          <w:b/>
          <w:szCs w:val="24"/>
        </w:rPr>
      </w:pPr>
    </w:p>
    <w:p w14:paraId="63ED6F3C" w14:textId="40C26E22" w:rsidR="005C4E07" w:rsidRDefault="005C4E07" w:rsidP="005C4E07">
      <w:pPr>
        <w:rPr>
          <w:b/>
          <w:szCs w:val="24"/>
        </w:rPr>
      </w:pPr>
      <w:r w:rsidRPr="003F55C8">
        <w:rPr>
          <w:b/>
          <w:szCs w:val="24"/>
        </w:rPr>
        <w:t xml:space="preserve">Date: </w:t>
      </w:r>
      <w:r w:rsidR="001B25FB">
        <w:rPr>
          <w:b/>
          <w:szCs w:val="24"/>
        </w:rPr>
        <w:t>5</w:t>
      </w:r>
      <w:r w:rsidR="001B25FB" w:rsidRPr="001B25FB">
        <w:rPr>
          <w:b/>
          <w:szCs w:val="24"/>
          <w:vertAlign w:val="superscript"/>
        </w:rPr>
        <w:t>th</w:t>
      </w:r>
      <w:r w:rsidR="001B25FB">
        <w:rPr>
          <w:b/>
          <w:szCs w:val="24"/>
        </w:rPr>
        <w:t xml:space="preserve"> </w:t>
      </w:r>
      <w:r w:rsidR="007B0C31" w:rsidRPr="003F55C8">
        <w:rPr>
          <w:b/>
          <w:szCs w:val="24"/>
        </w:rPr>
        <w:t>September 2023</w:t>
      </w:r>
    </w:p>
    <w:p w14:paraId="7046B122" w14:textId="77777777" w:rsidR="003F55C8" w:rsidRDefault="003F55C8" w:rsidP="00D27D5B">
      <w:pPr>
        <w:pStyle w:val="Heading2"/>
        <w:spacing w:after="240"/>
      </w:pPr>
    </w:p>
    <w:p w14:paraId="66F40407" w14:textId="505BE400" w:rsidR="00D27D5B" w:rsidRPr="00435B5D" w:rsidRDefault="00D27D5B" w:rsidP="00D27D5B">
      <w:pPr>
        <w:pStyle w:val="Heading2"/>
        <w:spacing w:after="240"/>
      </w:pPr>
      <w:r>
        <w:t>Mandatory Checks</w:t>
      </w:r>
    </w:p>
    <w:p w14:paraId="3A4B7F53" w14:textId="409839A0" w:rsidR="00D27D5B" w:rsidRPr="00A406F3" w:rsidRDefault="00D27D5B" w:rsidP="00D27D5B">
      <w:pPr>
        <w:pStyle w:val="Heading3"/>
        <w:ind w:left="0" w:firstLine="0"/>
        <w:jc w:val="left"/>
      </w:pPr>
      <w:r w:rsidRPr="003313EA">
        <w:t xml:space="preserve">Ward Councillors </w:t>
      </w:r>
      <w:r>
        <w:t xml:space="preserve">notified:  </w:t>
      </w:r>
      <w:r w:rsidRPr="00A406F3">
        <w:t>NO</w:t>
      </w:r>
      <w:r w:rsidRPr="00333FAA">
        <w:t>, as it impacts on all Wards</w:t>
      </w:r>
      <w:r w:rsidRPr="00A406F3">
        <w:t xml:space="preserve"> </w:t>
      </w:r>
    </w:p>
    <w:p w14:paraId="7370C9EA" w14:textId="362C1BB6" w:rsidR="00D27D5B" w:rsidRPr="00202D79" w:rsidRDefault="00D27D5B" w:rsidP="00D27D5B">
      <w:pPr>
        <w:pStyle w:val="Heading3"/>
        <w:spacing w:before="240"/>
        <w:rPr>
          <w:b w:val="0"/>
        </w:rPr>
      </w:pPr>
      <w:proofErr w:type="spellStart"/>
      <w:r w:rsidRPr="00202D79">
        <w:t>EqIA</w:t>
      </w:r>
      <w:proofErr w:type="spellEnd"/>
      <w:r w:rsidRPr="00202D79">
        <w:t xml:space="preserve"> carried out:</w:t>
      </w:r>
      <w:r>
        <w:t xml:space="preserve"> </w:t>
      </w:r>
      <w:r w:rsidRPr="00202D79">
        <w:t>NO</w:t>
      </w:r>
      <w:r w:rsidR="00B65395">
        <w:t xml:space="preserve"> - for information only </w:t>
      </w:r>
    </w:p>
    <w:p w14:paraId="1F5D9269" w14:textId="77777777" w:rsidR="005441BD" w:rsidRDefault="005441BD" w:rsidP="00D27D5B">
      <w:pPr>
        <w:pStyle w:val="Heading2"/>
        <w:spacing w:before="480" w:after="240"/>
      </w:pPr>
      <w:r>
        <w:t xml:space="preserve">Section </w:t>
      </w:r>
      <w:r w:rsidR="00B8374D">
        <w:t>4</w:t>
      </w:r>
      <w:r>
        <w:t xml:space="preserve"> - Contact Details and Background Papers</w:t>
      </w:r>
    </w:p>
    <w:p w14:paraId="63C69737" w14:textId="04314F25" w:rsidR="005441BD" w:rsidRPr="00E45E72" w:rsidRDefault="005441BD">
      <w:pPr>
        <w:pStyle w:val="Infotext"/>
        <w:rPr>
          <w:rFonts w:cs="Arial"/>
          <w:sz w:val="24"/>
          <w:szCs w:val="18"/>
        </w:rPr>
      </w:pPr>
      <w:r w:rsidRPr="00E45E72">
        <w:rPr>
          <w:b/>
          <w:sz w:val="24"/>
          <w:szCs w:val="18"/>
        </w:rPr>
        <w:t>Contact:</w:t>
      </w:r>
      <w:r w:rsidRPr="00E45E72">
        <w:rPr>
          <w:sz w:val="24"/>
          <w:szCs w:val="18"/>
        </w:rPr>
        <w:t xml:space="preserve">  </w:t>
      </w:r>
      <w:r w:rsidR="008F6C13" w:rsidRPr="00E45E72">
        <w:rPr>
          <w:rFonts w:cs="Arial"/>
          <w:sz w:val="24"/>
          <w:szCs w:val="18"/>
        </w:rPr>
        <w:t>Harriett Noall, Principal Policy Planner, harriett.noal@harrow.gov.uk</w:t>
      </w:r>
    </w:p>
    <w:p w14:paraId="589C5D97" w14:textId="77777777" w:rsidR="00A70288" w:rsidRPr="00E45E72" w:rsidRDefault="00A70288">
      <w:pPr>
        <w:pStyle w:val="Infotext"/>
        <w:rPr>
          <w:rFonts w:cs="Arial"/>
          <w:sz w:val="24"/>
          <w:szCs w:val="18"/>
        </w:rPr>
      </w:pPr>
    </w:p>
    <w:p w14:paraId="370906F5" w14:textId="421086BA" w:rsidR="00A70288" w:rsidRPr="00E45E72" w:rsidRDefault="00A70288">
      <w:pPr>
        <w:pStyle w:val="Infotext"/>
        <w:rPr>
          <w:b/>
          <w:bCs/>
          <w:sz w:val="24"/>
          <w:szCs w:val="18"/>
        </w:rPr>
      </w:pPr>
      <w:r w:rsidRPr="00E45E72">
        <w:rPr>
          <w:rFonts w:cs="Arial"/>
          <w:b/>
          <w:bCs/>
          <w:sz w:val="24"/>
          <w:szCs w:val="18"/>
        </w:rPr>
        <w:t xml:space="preserve">Appendix 1: </w:t>
      </w:r>
      <w:r w:rsidRPr="00E45E72">
        <w:rPr>
          <w:sz w:val="24"/>
          <w:szCs w:val="22"/>
        </w:rPr>
        <w:t xml:space="preserve">Infrastructure Delivery Plan </w:t>
      </w:r>
      <w:r w:rsidR="000D2DDC" w:rsidRPr="00E45E72">
        <w:rPr>
          <w:sz w:val="24"/>
          <w:szCs w:val="22"/>
        </w:rPr>
        <w:t xml:space="preserve">Context </w:t>
      </w:r>
      <w:r w:rsidRPr="00E45E72">
        <w:rPr>
          <w:sz w:val="24"/>
          <w:szCs w:val="22"/>
        </w:rPr>
        <w:t>Report (August 2023)</w:t>
      </w:r>
    </w:p>
    <w:p w14:paraId="54A40759" w14:textId="06806150" w:rsidR="000D5D8B" w:rsidRDefault="005441BD" w:rsidP="0007221C">
      <w:pPr>
        <w:pStyle w:val="Infotext"/>
        <w:keepNext/>
        <w:spacing w:before="240"/>
        <w:rPr>
          <w:b/>
        </w:rPr>
      </w:pPr>
      <w:r w:rsidRPr="00326C76">
        <w:rPr>
          <w:b/>
        </w:rPr>
        <w:lastRenderedPageBreak/>
        <w:t>Background Papers:</w:t>
      </w:r>
      <w:r w:rsidRPr="00326C76">
        <w:t xml:space="preserve">  </w:t>
      </w:r>
    </w:p>
    <w:p w14:paraId="18C873F0" w14:textId="2B88453E" w:rsidR="00287232" w:rsidRDefault="00287232" w:rsidP="00287232">
      <w:r>
        <w:t xml:space="preserve">Infrastructure Planning Guidance: </w:t>
      </w:r>
      <w:hyperlink r:id="rId16" w:history="1">
        <w:r w:rsidRPr="00DE5886">
          <w:rPr>
            <w:rStyle w:val="Hyperlink"/>
          </w:rPr>
          <w:t>https://www.gov.uk/government/collections/national-infrastructure-planning-guidance</w:t>
        </w:r>
      </w:hyperlink>
    </w:p>
    <w:p w14:paraId="44012FF7" w14:textId="25D52D7F" w:rsidR="00287232" w:rsidRDefault="00287232" w:rsidP="00287232"/>
    <w:p w14:paraId="7E3F3008" w14:textId="005C2F56" w:rsidR="00287232" w:rsidRDefault="00883EA2" w:rsidP="00287232">
      <w:r>
        <w:t xml:space="preserve">National Planning Policy </w:t>
      </w:r>
      <w:r w:rsidR="000B5E69">
        <w:t xml:space="preserve">Framework </w:t>
      </w:r>
      <w:r w:rsidR="00884F45">
        <w:t>–</w:t>
      </w:r>
      <w:r w:rsidR="000B5E69">
        <w:t xml:space="preserve"> </w:t>
      </w:r>
      <w:r w:rsidR="00884F45">
        <w:t xml:space="preserve">Plan Making Guidance: </w:t>
      </w:r>
      <w:hyperlink r:id="rId17" w:history="1">
        <w:r w:rsidR="00EE3E44" w:rsidRPr="00DE5886">
          <w:rPr>
            <w:rStyle w:val="Hyperlink"/>
          </w:rPr>
          <w:t>https://www.gov.uk/guidance/plan-making</w:t>
        </w:r>
      </w:hyperlink>
    </w:p>
    <w:p w14:paraId="0DD34C3D" w14:textId="612D4102" w:rsidR="00EE3E44" w:rsidRDefault="00EE3E44" w:rsidP="00287232"/>
    <w:p w14:paraId="2023D9BF" w14:textId="77777777" w:rsidR="00D25537" w:rsidRPr="00287232" w:rsidRDefault="00D25537" w:rsidP="00287232"/>
    <w:sectPr w:rsidR="00D25537" w:rsidRPr="00287232" w:rsidSect="005C1159">
      <w:type w:val="continuous"/>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6858D" w14:textId="77777777" w:rsidR="000E5026" w:rsidRDefault="000E5026">
      <w:r>
        <w:separator/>
      </w:r>
    </w:p>
  </w:endnote>
  <w:endnote w:type="continuationSeparator" w:id="0">
    <w:p w14:paraId="56D9CC3E" w14:textId="77777777" w:rsidR="000E5026" w:rsidRDefault="000E5026">
      <w:r>
        <w:continuationSeparator/>
      </w:r>
    </w:p>
  </w:endnote>
  <w:endnote w:type="continuationNotice" w:id="1">
    <w:p w14:paraId="6BF2C344" w14:textId="77777777" w:rsidR="000E5026" w:rsidRDefault="000E5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201"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1B4"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2A43" w14:textId="77777777" w:rsidR="000E5026" w:rsidRDefault="000E5026">
      <w:r>
        <w:separator/>
      </w:r>
    </w:p>
  </w:footnote>
  <w:footnote w:type="continuationSeparator" w:id="0">
    <w:p w14:paraId="463F8971" w14:textId="77777777" w:rsidR="000E5026" w:rsidRDefault="000E5026">
      <w:r>
        <w:continuationSeparator/>
      </w:r>
    </w:p>
  </w:footnote>
  <w:footnote w:type="continuationNotice" w:id="1">
    <w:p w14:paraId="29BD9E39" w14:textId="77777777" w:rsidR="000E5026" w:rsidRDefault="000E50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7163B"/>
    <w:multiLevelType w:val="multilevel"/>
    <w:tmpl w:val="3158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75DDC"/>
    <w:multiLevelType w:val="hybridMultilevel"/>
    <w:tmpl w:val="7E4A40EA"/>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477965"/>
    <w:multiLevelType w:val="hybridMultilevel"/>
    <w:tmpl w:val="14405ED8"/>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5B41C17"/>
    <w:multiLevelType w:val="hybridMultilevel"/>
    <w:tmpl w:val="188E6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A3510"/>
    <w:multiLevelType w:val="multilevel"/>
    <w:tmpl w:val="C66E0D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DE25248"/>
    <w:multiLevelType w:val="hybridMultilevel"/>
    <w:tmpl w:val="47062BB4"/>
    <w:lvl w:ilvl="0" w:tplc="9C1EA00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5" w15:restartNumberingAfterBreak="0">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B339D0"/>
    <w:multiLevelType w:val="hybridMultilevel"/>
    <w:tmpl w:val="357C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15:restartNumberingAfterBreak="0">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6B78374B"/>
    <w:multiLevelType w:val="hybridMultilevel"/>
    <w:tmpl w:val="A8380A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713991">
    <w:abstractNumId w:val="41"/>
  </w:num>
  <w:num w:numId="2" w16cid:durableId="1192304575">
    <w:abstractNumId w:val="33"/>
  </w:num>
  <w:num w:numId="3" w16cid:durableId="261106767">
    <w:abstractNumId w:val="16"/>
  </w:num>
  <w:num w:numId="4" w16cid:durableId="1884713565">
    <w:abstractNumId w:val="35"/>
  </w:num>
  <w:num w:numId="5" w16cid:durableId="1757633476">
    <w:abstractNumId w:val="12"/>
  </w:num>
  <w:num w:numId="6" w16cid:durableId="388575139">
    <w:abstractNumId w:val="30"/>
  </w:num>
  <w:num w:numId="7" w16cid:durableId="1943217182">
    <w:abstractNumId w:val="20"/>
  </w:num>
  <w:num w:numId="8" w16cid:durableId="576937782">
    <w:abstractNumId w:val="9"/>
  </w:num>
  <w:num w:numId="9" w16cid:durableId="1808207641">
    <w:abstractNumId w:val="8"/>
  </w:num>
  <w:num w:numId="10" w16cid:durableId="1730106153">
    <w:abstractNumId w:val="17"/>
  </w:num>
  <w:num w:numId="11" w16cid:durableId="26953244">
    <w:abstractNumId w:val="31"/>
  </w:num>
  <w:num w:numId="12" w16cid:durableId="965159230">
    <w:abstractNumId w:val="21"/>
  </w:num>
  <w:num w:numId="13" w16cid:durableId="2090075694">
    <w:abstractNumId w:val="19"/>
  </w:num>
  <w:num w:numId="14" w16cid:durableId="1976255845">
    <w:abstractNumId w:val="25"/>
  </w:num>
  <w:num w:numId="15" w16cid:durableId="786584901">
    <w:abstractNumId w:val="40"/>
  </w:num>
  <w:num w:numId="16" w16cid:durableId="11611090">
    <w:abstractNumId w:val="7"/>
  </w:num>
  <w:num w:numId="17" w16cid:durableId="230390145">
    <w:abstractNumId w:val="45"/>
  </w:num>
  <w:num w:numId="18" w16cid:durableId="482091376">
    <w:abstractNumId w:val="14"/>
  </w:num>
  <w:num w:numId="19" w16cid:durableId="498618022">
    <w:abstractNumId w:val="46"/>
  </w:num>
  <w:num w:numId="20" w16cid:durableId="1787843746">
    <w:abstractNumId w:val="23"/>
  </w:num>
  <w:num w:numId="21" w16cid:durableId="62677937">
    <w:abstractNumId w:val="28"/>
  </w:num>
  <w:num w:numId="22" w16cid:durableId="1666014572">
    <w:abstractNumId w:val="34"/>
  </w:num>
  <w:num w:numId="23" w16cid:durableId="129880188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25977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030501">
    <w:abstractNumId w:val="37"/>
  </w:num>
  <w:num w:numId="26" w16cid:durableId="91971400">
    <w:abstractNumId w:val="44"/>
  </w:num>
  <w:num w:numId="27" w16cid:durableId="629676568">
    <w:abstractNumId w:val="24"/>
  </w:num>
  <w:num w:numId="28" w16cid:durableId="1379743640">
    <w:abstractNumId w:val="18"/>
  </w:num>
  <w:num w:numId="29" w16cid:durableId="337080721">
    <w:abstractNumId w:val="42"/>
  </w:num>
  <w:num w:numId="30" w16cid:durableId="54668645">
    <w:abstractNumId w:val="1"/>
  </w:num>
  <w:num w:numId="31" w16cid:durableId="159198524">
    <w:abstractNumId w:val="32"/>
  </w:num>
  <w:num w:numId="32" w16cid:durableId="1437866950">
    <w:abstractNumId w:val="6"/>
  </w:num>
  <w:num w:numId="33" w16cid:durableId="19356680">
    <w:abstractNumId w:val="5"/>
  </w:num>
  <w:num w:numId="34" w16cid:durableId="1857572590">
    <w:abstractNumId w:val="39"/>
  </w:num>
  <w:num w:numId="35" w16cid:durableId="203031267">
    <w:abstractNumId w:val="47"/>
  </w:num>
  <w:num w:numId="36" w16cid:durableId="131145500">
    <w:abstractNumId w:val="36"/>
  </w:num>
  <w:num w:numId="37" w16cid:durableId="1544058519">
    <w:abstractNumId w:val="2"/>
  </w:num>
  <w:num w:numId="38" w16cid:durableId="240990180">
    <w:abstractNumId w:val="15"/>
  </w:num>
  <w:num w:numId="39" w16cid:durableId="643196401">
    <w:abstractNumId w:val="27"/>
  </w:num>
  <w:num w:numId="40" w16cid:durableId="458911492">
    <w:abstractNumId w:val="26"/>
  </w:num>
  <w:num w:numId="41" w16cid:durableId="1515805256">
    <w:abstractNumId w:val="43"/>
  </w:num>
  <w:num w:numId="42" w16cid:durableId="1636059980">
    <w:abstractNumId w:val="3"/>
  </w:num>
  <w:num w:numId="43" w16cid:durableId="1687713054">
    <w:abstractNumId w:val="0"/>
  </w:num>
  <w:num w:numId="44" w16cid:durableId="1308970597">
    <w:abstractNumId w:val="29"/>
  </w:num>
  <w:num w:numId="45" w16cid:durableId="2101681225">
    <w:abstractNumId w:val="22"/>
  </w:num>
  <w:num w:numId="46" w16cid:durableId="1981303187">
    <w:abstractNumId w:val="13"/>
  </w:num>
  <w:num w:numId="47" w16cid:durableId="875234250">
    <w:abstractNumId w:val="11"/>
  </w:num>
  <w:num w:numId="48" w16cid:durableId="1670985624">
    <w:abstractNumId w:val="4"/>
  </w:num>
  <w:num w:numId="49" w16cid:durableId="20733838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3448"/>
    <w:rsid w:val="00003DC9"/>
    <w:rsid w:val="000101E1"/>
    <w:rsid w:val="00012608"/>
    <w:rsid w:val="00012D45"/>
    <w:rsid w:val="000164D1"/>
    <w:rsid w:val="000168D3"/>
    <w:rsid w:val="00016FBE"/>
    <w:rsid w:val="00026C7A"/>
    <w:rsid w:val="00026D15"/>
    <w:rsid w:val="00026E61"/>
    <w:rsid w:val="00031151"/>
    <w:rsid w:val="00036698"/>
    <w:rsid w:val="000423B1"/>
    <w:rsid w:val="00050811"/>
    <w:rsid w:val="0005388A"/>
    <w:rsid w:val="000578B2"/>
    <w:rsid w:val="00063133"/>
    <w:rsid w:val="0007221C"/>
    <w:rsid w:val="000723F7"/>
    <w:rsid w:val="00073B78"/>
    <w:rsid w:val="00075E03"/>
    <w:rsid w:val="00085962"/>
    <w:rsid w:val="00086480"/>
    <w:rsid w:val="00094A24"/>
    <w:rsid w:val="000A3C85"/>
    <w:rsid w:val="000B5E69"/>
    <w:rsid w:val="000C0202"/>
    <w:rsid w:val="000C2204"/>
    <w:rsid w:val="000C31CE"/>
    <w:rsid w:val="000D2DDC"/>
    <w:rsid w:val="000D5D8B"/>
    <w:rsid w:val="000E0B64"/>
    <w:rsid w:val="000E1217"/>
    <w:rsid w:val="000E1739"/>
    <w:rsid w:val="000E1899"/>
    <w:rsid w:val="000E5026"/>
    <w:rsid w:val="000F155E"/>
    <w:rsid w:val="000F381D"/>
    <w:rsid w:val="000F665E"/>
    <w:rsid w:val="00100D96"/>
    <w:rsid w:val="00106813"/>
    <w:rsid w:val="001244C3"/>
    <w:rsid w:val="00131CED"/>
    <w:rsid w:val="001328E3"/>
    <w:rsid w:val="00135DA3"/>
    <w:rsid w:val="00150687"/>
    <w:rsid w:val="001655B4"/>
    <w:rsid w:val="00165747"/>
    <w:rsid w:val="00167ACC"/>
    <w:rsid w:val="00171CCC"/>
    <w:rsid w:val="0017388D"/>
    <w:rsid w:val="001827C8"/>
    <w:rsid w:val="00191840"/>
    <w:rsid w:val="001919EA"/>
    <w:rsid w:val="00196AFC"/>
    <w:rsid w:val="001A4C6D"/>
    <w:rsid w:val="001B051B"/>
    <w:rsid w:val="001B0741"/>
    <w:rsid w:val="001B25FB"/>
    <w:rsid w:val="001C2940"/>
    <w:rsid w:val="001D04B9"/>
    <w:rsid w:val="001D1F6F"/>
    <w:rsid w:val="001D71C9"/>
    <w:rsid w:val="001E282E"/>
    <w:rsid w:val="001F31D6"/>
    <w:rsid w:val="001F6561"/>
    <w:rsid w:val="00200952"/>
    <w:rsid w:val="00202D9A"/>
    <w:rsid w:val="002034B3"/>
    <w:rsid w:val="00203A56"/>
    <w:rsid w:val="002216D0"/>
    <w:rsid w:val="002218EF"/>
    <w:rsid w:val="002253B2"/>
    <w:rsid w:val="0022797C"/>
    <w:rsid w:val="00232566"/>
    <w:rsid w:val="002363BB"/>
    <w:rsid w:val="00237C55"/>
    <w:rsid w:val="00242C04"/>
    <w:rsid w:val="00245DBF"/>
    <w:rsid w:val="00250E3B"/>
    <w:rsid w:val="00251542"/>
    <w:rsid w:val="0025320D"/>
    <w:rsid w:val="00254F5D"/>
    <w:rsid w:val="00272338"/>
    <w:rsid w:val="0028117A"/>
    <w:rsid w:val="00284269"/>
    <w:rsid w:val="00287232"/>
    <w:rsid w:val="00287BC2"/>
    <w:rsid w:val="002A0F12"/>
    <w:rsid w:val="002A21BB"/>
    <w:rsid w:val="002A6EF5"/>
    <w:rsid w:val="002B411A"/>
    <w:rsid w:val="002C6E5C"/>
    <w:rsid w:val="002C77A7"/>
    <w:rsid w:val="002D0291"/>
    <w:rsid w:val="002D0A58"/>
    <w:rsid w:val="002D45D5"/>
    <w:rsid w:val="002D6203"/>
    <w:rsid w:val="002D7BE3"/>
    <w:rsid w:val="002E0AC8"/>
    <w:rsid w:val="002F0364"/>
    <w:rsid w:val="002F322F"/>
    <w:rsid w:val="002F46FC"/>
    <w:rsid w:val="002F59F6"/>
    <w:rsid w:val="00302B40"/>
    <w:rsid w:val="00313541"/>
    <w:rsid w:val="00313F3C"/>
    <w:rsid w:val="00314B40"/>
    <w:rsid w:val="0032296A"/>
    <w:rsid w:val="00323250"/>
    <w:rsid w:val="00325215"/>
    <w:rsid w:val="00326C76"/>
    <w:rsid w:val="00345F53"/>
    <w:rsid w:val="0034748A"/>
    <w:rsid w:val="00347555"/>
    <w:rsid w:val="00356159"/>
    <w:rsid w:val="0035772D"/>
    <w:rsid w:val="00365864"/>
    <w:rsid w:val="0037084A"/>
    <w:rsid w:val="003721C8"/>
    <w:rsid w:val="00372B64"/>
    <w:rsid w:val="00377263"/>
    <w:rsid w:val="00377BC8"/>
    <w:rsid w:val="00380026"/>
    <w:rsid w:val="0038399A"/>
    <w:rsid w:val="0039332A"/>
    <w:rsid w:val="003A1705"/>
    <w:rsid w:val="003A55AB"/>
    <w:rsid w:val="003A783B"/>
    <w:rsid w:val="003B3DF8"/>
    <w:rsid w:val="003B5FF8"/>
    <w:rsid w:val="003B75A5"/>
    <w:rsid w:val="003C664F"/>
    <w:rsid w:val="003C723A"/>
    <w:rsid w:val="003D16F8"/>
    <w:rsid w:val="003D31C2"/>
    <w:rsid w:val="003D78F6"/>
    <w:rsid w:val="003E1379"/>
    <w:rsid w:val="003F4A5F"/>
    <w:rsid w:val="003F55C8"/>
    <w:rsid w:val="00400283"/>
    <w:rsid w:val="00400C78"/>
    <w:rsid w:val="00402E49"/>
    <w:rsid w:val="00410C2B"/>
    <w:rsid w:val="0042510F"/>
    <w:rsid w:val="00432050"/>
    <w:rsid w:val="00437321"/>
    <w:rsid w:val="004448C4"/>
    <w:rsid w:val="00447899"/>
    <w:rsid w:val="00450F31"/>
    <w:rsid w:val="00451B10"/>
    <w:rsid w:val="004549E3"/>
    <w:rsid w:val="00455564"/>
    <w:rsid w:val="00460ADB"/>
    <w:rsid w:val="004620AD"/>
    <w:rsid w:val="00462114"/>
    <w:rsid w:val="0046660A"/>
    <w:rsid w:val="00476013"/>
    <w:rsid w:val="004825A8"/>
    <w:rsid w:val="00486170"/>
    <w:rsid w:val="00486B3D"/>
    <w:rsid w:val="00490334"/>
    <w:rsid w:val="0049070E"/>
    <w:rsid w:val="004970CA"/>
    <w:rsid w:val="004A14F7"/>
    <w:rsid w:val="004A29D5"/>
    <w:rsid w:val="004A2CFB"/>
    <w:rsid w:val="004C1734"/>
    <w:rsid w:val="004C4419"/>
    <w:rsid w:val="004C5899"/>
    <w:rsid w:val="004D744C"/>
    <w:rsid w:val="004E2E79"/>
    <w:rsid w:val="004E366E"/>
    <w:rsid w:val="004E4261"/>
    <w:rsid w:val="004E7169"/>
    <w:rsid w:val="004F4D83"/>
    <w:rsid w:val="004F6760"/>
    <w:rsid w:val="00504E2C"/>
    <w:rsid w:val="00516563"/>
    <w:rsid w:val="005200DF"/>
    <w:rsid w:val="00520281"/>
    <w:rsid w:val="005235C6"/>
    <w:rsid w:val="00525440"/>
    <w:rsid w:val="00527689"/>
    <w:rsid w:val="00530719"/>
    <w:rsid w:val="005337B2"/>
    <w:rsid w:val="005441BD"/>
    <w:rsid w:val="0054587F"/>
    <w:rsid w:val="00550BB3"/>
    <w:rsid w:val="005543A6"/>
    <w:rsid w:val="0056035B"/>
    <w:rsid w:val="00560F4C"/>
    <w:rsid w:val="0056260B"/>
    <w:rsid w:val="00581BAF"/>
    <w:rsid w:val="00587227"/>
    <w:rsid w:val="005961BE"/>
    <w:rsid w:val="005A267D"/>
    <w:rsid w:val="005B2F47"/>
    <w:rsid w:val="005B712A"/>
    <w:rsid w:val="005C1159"/>
    <w:rsid w:val="005C49A2"/>
    <w:rsid w:val="005C4E07"/>
    <w:rsid w:val="005C5F36"/>
    <w:rsid w:val="005C7D3C"/>
    <w:rsid w:val="005D0050"/>
    <w:rsid w:val="005D3E4C"/>
    <w:rsid w:val="005E76B5"/>
    <w:rsid w:val="005E78C4"/>
    <w:rsid w:val="005F1560"/>
    <w:rsid w:val="005F20AC"/>
    <w:rsid w:val="005F5698"/>
    <w:rsid w:val="0060100A"/>
    <w:rsid w:val="00602CE7"/>
    <w:rsid w:val="00604505"/>
    <w:rsid w:val="0060678B"/>
    <w:rsid w:val="00612A64"/>
    <w:rsid w:val="0061462D"/>
    <w:rsid w:val="00616427"/>
    <w:rsid w:val="00617477"/>
    <w:rsid w:val="00617F63"/>
    <w:rsid w:val="00620758"/>
    <w:rsid w:val="00620775"/>
    <w:rsid w:val="006218AC"/>
    <w:rsid w:val="006336C6"/>
    <w:rsid w:val="00634885"/>
    <w:rsid w:val="0063573A"/>
    <w:rsid w:val="0064262B"/>
    <w:rsid w:val="00650699"/>
    <w:rsid w:val="00656C6A"/>
    <w:rsid w:val="0066116B"/>
    <w:rsid w:val="00662897"/>
    <w:rsid w:val="006633B8"/>
    <w:rsid w:val="00663EFA"/>
    <w:rsid w:val="00665A12"/>
    <w:rsid w:val="00665F45"/>
    <w:rsid w:val="006668DA"/>
    <w:rsid w:val="00674F13"/>
    <w:rsid w:val="00683580"/>
    <w:rsid w:val="00683AB8"/>
    <w:rsid w:val="006843EC"/>
    <w:rsid w:val="00684980"/>
    <w:rsid w:val="00686579"/>
    <w:rsid w:val="00697A35"/>
    <w:rsid w:val="006B58A7"/>
    <w:rsid w:val="006B5F35"/>
    <w:rsid w:val="006B60D6"/>
    <w:rsid w:val="006B7417"/>
    <w:rsid w:val="006C3831"/>
    <w:rsid w:val="006C44D8"/>
    <w:rsid w:val="006C484D"/>
    <w:rsid w:val="006C6D85"/>
    <w:rsid w:val="006E24AF"/>
    <w:rsid w:val="006E4962"/>
    <w:rsid w:val="006E5BB2"/>
    <w:rsid w:val="006E5D47"/>
    <w:rsid w:val="006E692F"/>
    <w:rsid w:val="006F2DDD"/>
    <w:rsid w:val="006F6B24"/>
    <w:rsid w:val="00700D3A"/>
    <w:rsid w:val="0070496A"/>
    <w:rsid w:val="00712A62"/>
    <w:rsid w:val="00713DA0"/>
    <w:rsid w:val="00720786"/>
    <w:rsid w:val="00722A31"/>
    <w:rsid w:val="00730223"/>
    <w:rsid w:val="007304E7"/>
    <w:rsid w:val="007367CF"/>
    <w:rsid w:val="00744A1A"/>
    <w:rsid w:val="00761D7B"/>
    <w:rsid w:val="007769EA"/>
    <w:rsid w:val="00776C06"/>
    <w:rsid w:val="007A012E"/>
    <w:rsid w:val="007A14C5"/>
    <w:rsid w:val="007A216A"/>
    <w:rsid w:val="007A4008"/>
    <w:rsid w:val="007B0C31"/>
    <w:rsid w:val="007B1514"/>
    <w:rsid w:val="007D1C96"/>
    <w:rsid w:val="007D7E0B"/>
    <w:rsid w:val="007E6D3A"/>
    <w:rsid w:val="0081262D"/>
    <w:rsid w:val="00817191"/>
    <w:rsid w:val="0082563C"/>
    <w:rsid w:val="00841A0F"/>
    <w:rsid w:val="008618BE"/>
    <w:rsid w:val="00861E98"/>
    <w:rsid w:val="008648B3"/>
    <w:rsid w:val="00865140"/>
    <w:rsid w:val="00877307"/>
    <w:rsid w:val="008779ED"/>
    <w:rsid w:val="008807A7"/>
    <w:rsid w:val="0088353F"/>
    <w:rsid w:val="00883EA2"/>
    <w:rsid w:val="00884F45"/>
    <w:rsid w:val="00885702"/>
    <w:rsid w:val="0088712B"/>
    <w:rsid w:val="00894FDB"/>
    <w:rsid w:val="0089667A"/>
    <w:rsid w:val="008A408B"/>
    <w:rsid w:val="008A63AD"/>
    <w:rsid w:val="008B2573"/>
    <w:rsid w:val="008B26AA"/>
    <w:rsid w:val="008B32A3"/>
    <w:rsid w:val="008C015E"/>
    <w:rsid w:val="008D0B76"/>
    <w:rsid w:val="008F0C2F"/>
    <w:rsid w:val="008F1A15"/>
    <w:rsid w:val="008F6C13"/>
    <w:rsid w:val="008F77F6"/>
    <w:rsid w:val="009066CE"/>
    <w:rsid w:val="009114B3"/>
    <w:rsid w:val="0091226A"/>
    <w:rsid w:val="0091585D"/>
    <w:rsid w:val="00915FD6"/>
    <w:rsid w:val="009231B6"/>
    <w:rsid w:val="009238B6"/>
    <w:rsid w:val="0092672C"/>
    <w:rsid w:val="0094248C"/>
    <w:rsid w:val="00947A86"/>
    <w:rsid w:val="00953767"/>
    <w:rsid w:val="00953A14"/>
    <w:rsid w:val="009559B1"/>
    <w:rsid w:val="0095672D"/>
    <w:rsid w:val="00961630"/>
    <w:rsid w:val="009670A0"/>
    <w:rsid w:val="009761ED"/>
    <w:rsid w:val="0097620D"/>
    <w:rsid w:val="00980B7C"/>
    <w:rsid w:val="00985204"/>
    <w:rsid w:val="0099076B"/>
    <w:rsid w:val="009A058A"/>
    <w:rsid w:val="009A396B"/>
    <w:rsid w:val="009B1D74"/>
    <w:rsid w:val="009C069E"/>
    <w:rsid w:val="009C2190"/>
    <w:rsid w:val="009C2FDE"/>
    <w:rsid w:val="009D56DA"/>
    <w:rsid w:val="009E581D"/>
    <w:rsid w:val="009F14C8"/>
    <w:rsid w:val="009F27E7"/>
    <w:rsid w:val="009F71DA"/>
    <w:rsid w:val="00A01A67"/>
    <w:rsid w:val="00A137E7"/>
    <w:rsid w:val="00A145AF"/>
    <w:rsid w:val="00A2102D"/>
    <w:rsid w:val="00A2454D"/>
    <w:rsid w:val="00A24E62"/>
    <w:rsid w:val="00A274AC"/>
    <w:rsid w:val="00A3704F"/>
    <w:rsid w:val="00A3781B"/>
    <w:rsid w:val="00A406F3"/>
    <w:rsid w:val="00A42A33"/>
    <w:rsid w:val="00A501C7"/>
    <w:rsid w:val="00A56101"/>
    <w:rsid w:val="00A5613C"/>
    <w:rsid w:val="00A66832"/>
    <w:rsid w:val="00A70288"/>
    <w:rsid w:val="00A80F10"/>
    <w:rsid w:val="00A83CE2"/>
    <w:rsid w:val="00A867E2"/>
    <w:rsid w:val="00A96968"/>
    <w:rsid w:val="00A96AD9"/>
    <w:rsid w:val="00AA21B6"/>
    <w:rsid w:val="00AA2C9A"/>
    <w:rsid w:val="00AA3136"/>
    <w:rsid w:val="00AA7C24"/>
    <w:rsid w:val="00AB28BD"/>
    <w:rsid w:val="00AB2A8D"/>
    <w:rsid w:val="00AB57D6"/>
    <w:rsid w:val="00AB6D1C"/>
    <w:rsid w:val="00AB6D45"/>
    <w:rsid w:val="00AD09DB"/>
    <w:rsid w:val="00AD687C"/>
    <w:rsid w:val="00AE3FEB"/>
    <w:rsid w:val="00AE452B"/>
    <w:rsid w:val="00AF0216"/>
    <w:rsid w:val="00B066C7"/>
    <w:rsid w:val="00B16F89"/>
    <w:rsid w:val="00B21131"/>
    <w:rsid w:val="00B26D5D"/>
    <w:rsid w:val="00B31E9B"/>
    <w:rsid w:val="00B41BC1"/>
    <w:rsid w:val="00B4394D"/>
    <w:rsid w:val="00B44E2F"/>
    <w:rsid w:val="00B47E1B"/>
    <w:rsid w:val="00B52F9B"/>
    <w:rsid w:val="00B547AF"/>
    <w:rsid w:val="00B5672C"/>
    <w:rsid w:val="00B62D1E"/>
    <w:rsid w:val="00B65395"/>
    <w:rsid w:val="00B65EB5"/>
    <w:rsid w:val="00B663F9"/>
    <w:rsid w:val="00B66D7C"/>
    <w:rsid w:val="00B67283"/>
    <w:rsid w:val="00B72104"/>
    <w:rsid w:val="00B72C2B"/>
    <w:rsid w:val="00B767CF"/>
    <w:rsid w:val="00B82309"/>
    <w:rsid w:val="00B8374D"/>
    <w:rsid w:val="00B851FE"/>
    <w:rsid w:val="00B911FF"/>
    <w:rsid w:val="00B917F9"/>
    <w:rsid w:val="00B9469E"/>
    <w:rsid w:val="00B94AFD"/>
    <w:rsid w:val="00B9674C"/>
    <w:rsid w:val="00B97B3B"/>
    <w:rsid w:val="00BA7611"/>
    <w:rsid w:val="00BB1D6B"/>
    <w:rsid w:val="00BB7DD3"/>
    <w:rsid w:val="00BC1CC7"/>
    <w:rsid w:val="00BC1FFF"/>
    <w:rsid w:val="00BC24FF"/>
    <w:rsid w:val="00BD7D29"/>
    <w:rsid w:val="00BE4922"/>
    <w:rsid w:val="00BE56A2"/>
    <w:rsid w:val="00BF108C"/>
    <w:rsid w:val="00BF396B"/>
    <w:rsid w:val="00C03343"/>
    <w:rsid w:val="00C257D1"/>
    <w:rsid w:val="00C316E9"/>
    <w:rsid w:val="00C37118"/>
    <w:rsid w:val="00C4117C"/>
    <w:rsid w:val="00C424CA"/>
    <w:rsid w:val="00C51736"/>
    <w:rsid w:val="00C51C18"/>
    <w:rsid w:val="00C527C2"/>
    <w:rsid w:val="00C55590"/>
    <w:rsid w:val="00C61714"/>
    <w:rsid w:val="00C63334"/>
    <w:rsid w:val="00C63F0B"/>
    <w:rsid w:val="00C645AE"/>
    <w:rsid w:val="00C674CF"/>
    <w:rsid w:val="00C71597"/>
    <w:rsid w:val="00C928FC"/>
    <w:rsid w:val="00C93711"/>
    <w:rsid w:val="00CA2319"/>
    <w:rsid w:val="00CA387C"/>
    <w:rsid w:val="00CC2617"/>
    <w:rsid w:val="00CC306F"/>
    <w:rsid w:val="00CD009C"/>
    <w:rsid w:val="00CD16E4"/>
    <w:rsid w:val="00CD3CC4"/>
    <w:rsid w:val="00CE76B5"/>
    <w:rsid w:val="00CF1F44"/>
    <w:rsid w:val="00D02A0F"/>
    <w:rsid w:val="00D04857"/>
    <w:rsid w:val="00D0696E"/>
    <w:rsid w:val="00D07798"/>
    <w:rsid w:val="00D107B2"/>
    <w:rsid w:val="00D11A92"/>
    <w:rsid w:val="00D22891"/>
    <w:rsid w:val="00D25537"/>
    <w:rsid w:val="00D27689"/>
    <w:rsid w:val="00D27D5B"/>
    <w:rsid w:val="00D33AE8"/>
    <w:rsid w:val="00D34865"/>
    <w:rsid w:val="00D53CB5"/>
    <w:rsid w:val="00D54435"/>
    <w:rsid w:val="00D612D2"/>
    <w:rsid w:val="00D629D5"/>
    <w:rsid w:val="00D67B11"/>
    <w:rsid w:val="00D763C0"/>
    <w:rsid w:val="00D77C85"/>
    <w:rsid w:val="00D82CF8"/>
    <w:rsid w:val="00D8409F"/>
    <w:rsid w:val="00D85E65"/>
    <w:rsid w:val="00D87C9E"/>
    <w:rsid w:val="00D87F2B"/>
    <w:rsid w:val="00D90CC0"/>
    <w:rsid w:val="00D91648"/>
    <w:rsid w:val="00D947CB"/>
    <w:rsid w:val="00DB16C4"/>
    <w:rsid w:val="00DB1857"/>
    <w:rsid w:val="00DB1AB3"/>
    <w:rsid w:val="00DB7C2C"/>
    <w:rsid w:val="00DD5436"/>
    <w:rsid w:val="00DE159E"/>
    <w:rsid w:val="00DE21F4"/>
    <w:rsid w:val="00DE6CC7"/>
    <w:rsid w:val="00DE7FE5"/>
    <w:rsid w:val="00DF4690"/>
    <w:rsid w:val="00E03E43"/>
    <w:rsid w:val="00E07B9C"/>
    <w:rsid w:val="00E10E18"/>
    <w:rsid w:val="00E3214C"/>
    <w:rsid w:val="00E36CFF"/>
    <w:rsid w:val="00E37C3B"/>
    <w:rsid w:val="00E41F17"/>
    <w:rsid w:val="00E446E9"/>
    <w:rsid w:val="00E45E72"/>
    <w:rsid w:val="00E469A3"/>
    <w:rsid w:val="00E5505B"/>
    <w:rsid w:val="00E5600B"/>
    <w:rsid w:val="00E660EE"/>
    <w:rsid w:val="00E66A62"/>
    <w:rsid w:val="00E71D56"/>
    <w:rsid w:val="00E71FD8"/>
    <w:rsid w:val="00E72EC6"/>
    <w:rsid w:val="00E91983"/>
    <w:rsid w:val="00E95DFE"/>
    <w:rsid w:val="00EA2237"/>
    <w:rsid w:val="00EA5CE4"/>
    <w:rsid w:val="00EB1FF0"/>
    <w:rsid w:val="00EB2DD2"/>
    <w:rsid w:val="00EC6FE9"/>
    <w:rsid w:val="00ED2BB7"/>
    <w:rsid w:val="00ED583F"/>
    <w:rsid w:val="00EE1055"/>
    <w:rsid w:val="00EE3E44"/>
    <w:rsid w:val="00EE7076"/>
    <w:rsid w:val="00EF0114"/>
    <w:rsid w:val="00EF2018"/>
    <w:rsid w:val="00EF3F24"/>
    <w:rsid w:val="00EF64E0"/>
    <w:rsid w:val="00F10A52"/>
    <w:rsid w:val="00F11F41"/>
    <w:rsid w:val="00F12B53"/>
    <w:rsid w:val="00F14BA6"/>
    <w:rsid w:val="00F24ABA"/>
    <w:rsid w:val="00F30D77"/>
    <w:rsid w:val="00F324E9"/>
    <w:rsid w:val="00F51B56"/>
    <w:rsid w:val="00F57B0C"/>
    <w:rsid w:val="00F62788"/>
    <w:rsid w:val="00F73BD1"/>
    <w:rsid w:val="00F76200"/>
    <w:rsid w:val="00F76A77"/>
    <w:rsid w:val="00F83244"/>
    <w:rsid w:val="00F8727F"/>
    <w:rsid w:val="00F9251B"/>
    <w:rsid w:val="00F941C5"/>
    <w:rsid w:val="00FA3F0B"/>
    <w:rsid w:val="00FB2CB4"/>
    <w:rsid w:val="00FB440E"/>
    <w:rsid w:val="00FC2AC3"/>
    <w:rsid w:val="00FC382A"/>
    <w:rsid w:val="00FC6000"/>
    <w:rsid w:val="00FC7F51"/>
    <w:rsid w:val="00FD1111"/>
    <w:rsid w:val="00FD1250"/>
    <w:rsid w:val="00FD66AE"/>
    <w:rsid w:val="00FE3F99"/>
    <w:rsid w:val="078409D7"/>
    <w:rsid w:val="0BFE8468"/>
    <w:rsid w:val="0C95A15E"/>
    <w:rsid w:val="1645845D"/>
    <w:rsid w:val="19893B6B"/>
    <w:rsid w:val="2B6C4746"/>
    <w:rsid w:val="32CAFEBE"/>
    <w:rsid w:val="36C17FBE"/>
    <w:rsid w:val="44463981"/>
    <w:rsid w:val="49B219C5"/>
    <w:rsid w:val="4A93A906"/>
    <w:rsid w:val="4C439449"/>
    <w:rsid w:val="595D1A15"/>
    <w:rsid w:val="5BDDD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E243"/>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rsid w:val="00861E98"/>
    <w:pPr>
      <w:keepNext/>
      <w:outlineLvl w:val="3"/>
    </w:pPr>
    <w:rPr>
      <w:rFonts w:cs="Arial"/>
      <w:b/>
      <w:sz w:val="28"/>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uiPriority w:val="99"/>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paragraph" w:customStyle="1" w:styleId="StyleListParagraphBold">
    <w:name w:val="Style List Paragraph + Bold"/>
    <w:basedOn w:val="ListParagraph"/>
    <w:rsid w:val="00EC6FE9"/>
    <w:rPr>
      <w:b/>
      <w:bCs/>
      <w:sz w:val="24"/>
    </w:rPr>
  </w:style>
  <w:style w:type="paragraph" w:styleId="Revision">
    <w:name w:val="Revision"/>
    <w:hidden/>
    <w:uiPriority w:val="99"/>
    <w:semiHidden/>
    <w:rsid w:val="00AA2C9A"/>
    <w:rPr>
      <w:rFonts w:ascii="Arial" w:hAnsi="Arial"/>
      <w:sz w:val="24"/>
      <w:lang w:eastAsia="en-US"/>
    </w:rPr>
  </w:style>
  <w:style w:type="character" w:styleId="CommentReference">
    <w:name w:val="annotation reference"/>
    <w:basedOn w:val="DefaultParagraphFont"/>
    <w:semiHidden/>
    <w:unhideWhenUsed/>
    <w:rsid w:val="005543A6"/>
    <w:rPr>
      <w:sz w:val="16"/>
      <w:szCs w:val="16"/>
    </w:rPr>
  </w:style>
  <w:style w:type="paragraph" w:styleId="CommentText">
    <w:name w:val="annotation text"/>
    <w:basedOn w:val="Normal"/>
    <w:link w:val="CommentTextChar"/>
    <w:unhideWhenUsed/>
    <w:rsid w:val="005543A6"/>
    <w:rPr>
      <w:sz w:val="20"/>
    </w:rPr>
  </w:style>
  <w:style w:type="character" w:customStyle="1" w:styleId="CommentTextChar">
    <w:name w:val="Comment Text Char"/>
    <w:basedOn w:val="DefaultParagraphFont"/>
    <w:link w:val="CommentText"/>
    <w:rsid w:val="005543A6"/>
    <w:rPr>
      <w:rFonts w:ascii="Arial" w:hAnsi="Arial"/>
      <w:lang w:eastAsia="en-US"/>
    </w:rPr>
  </w:style>
  <w:style w:type="paragraph" w:styleId="CommentSubject">
    <w:name w:val="annotation subject"/>
    <w:basedOn w:val="CommentText"/>
    <w:next w:val="CommentText"/>
    <w:link w:val="CommentSubjectChar"/>
    <w:semiHidden/>
    <w:unhideWhenUsed/>
    <w:rsid w:val="005543A6"/>
    <w:rPr>
      <w:b/>
      <w:bCs/>
    </w:rPr>
  </w:style>
  <w:style w:type="character" w:customStyle="1" w:styleId="CommentSubjectChar">
    <w:name w:val="Comment Subject Char"/>
    <w:basedOn w:val="CommentTextChar"/>
    <w:link w:val="CommentSubject"/>
    <w:semiHidden/>
    <w:rsid w:val="005543A6"/>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0880">
      <w:bodyDiv w:val="1"/>
      <w:marLeft w:val="0"/>
      <w:marRight w:val="0"/>
      <w:marTop w:val="0"/>
      <w:marBottom w:val="0"/>
      <w:divBdr>
        <w:top w:val="none" w:sz="0" w:space="0" w:color="auto"/>
        <w:left w:val="none" w:sz="0" w:space="0" w:color="auto"/>
        <w:bottom w:val="none" w:sz="0" w:space="0" w:color="auto"/>
        <w:right w:val="none" w:sz="0" w:space="0" w:color="auto"/>
      </w:divBdr>
    </w:div>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39327032">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1859193356">
      <w:bodyDiv w:val="1"/>
      <w:marLeft w:val="0"/>
      <w:marRight w:val="0"/>
      <w:marTop w:val="0"/>
      <w:marBottom w:val="0"/>
      <w:divBdr>
        <w:top w:val="none" w:sz="0" w:space="0" w:color="auto"/>
        <w:left w:val="none" w:sz="0" w:space="0" w:color="auto"/>
        <w:bottom w:val="none" w:sz="0" w:space="0" w:color="auto"/>
        <w:right w:val="none" w:sz="0" w:space="0" w:color="auto"/>
      </w:divBdr>
    </w:div>
    <w:div w:id="2041005600">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rrow.gov.uk/downloads/file/23229/community-infrastructure-levy-revised-infrastructure-assessment-and-delivery-pla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gov.uk/guidance/plan-making" TargetMode="External"/><Relationship Id="rId2" Type="http://schemas.openxmlformats.org/officeDocument/2006/relationships/customXml" Target="../customXml/item2.xml"/><Relationship Id="rId16" Type="http://schemas.openxmlformats.org/officeDocument/2006/relationships/hyperlink" Target="https://www.gov.uk/government/collections/national-infrastructure-planning-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FA061-2DE8-47AC-B80E-2C4AA64F5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1760</Words>
  <Characters>10365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lastModifiedBy>Mwimanji Chellah</cp:lastModifiedBy>
  <cp:revision>2</cp:revision>
  <cp:lastPrinted>2014-11-17T16:34:00Z</cp:lastPrinted>
  <dcterms:created xsi:type="dcterms:W3CDTF">2023-09-08T10:44:00Z</dcterms:created>
  <dcterms:modified xsi:type="dcterms:W3CDTF">2023-09-08T10:44:00Z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